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JTAPI/1180/2022 vom 3. November 2022</w:t>
      </w:r>
    </w:p>
    <w:p>
      <w:r>
        <w:t>GE Cour de justice, 2022-11-03, FR</w:t>
      </w:r>
    </w:p>
    <w:p>
      <w:r>
        <w:rPr>
          <w:b/>
        </w:rPr>
        <w:t xml:space="preserve">Quelle: </w:t>
      </w:r>
      <w:r>
        <w:t>https://mcp.opencaselaw.ch/entscheid/ge_gerichte_JTAPI_1180_2022</w:t>
      </w:r>
    </w:p>
    <w:p>
      <w:r>
        <w:t>FR: GE_GERICHTE JTAPI/1180/2022 du 3 novembre 2022</w:t>
      </w:r>
    </w:p>
    <w:p>
      <w:r>
        <w:t>IT: GE_GERICHTE JTAPI/1180/2022 del 3 novembre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décision litigieuse se fonde, d'une part, sur le principe de prévention concrétisé par l'art. 11 al. 2 de la loi fédérale sur la protection de l’environnement du 7 octobre 1983 (loi sur la protection de l’environnement, LPE - RS 814.01) et, d'autre part, sur le fait qu'au stade de la requête en autorisation de construire, la recourante n'avait pas produit un extrait de plan d'ensemble. Sur ce dernier point, la recourante a produit ce document durant la présente procédure, ce qui a amené l'autorité intimée à admettre que ce point ne faisait désormais plus l'objet du litige. Hormis ces deux aspects, la recourante a également produit durant la présente procédure la fiche de données spécifique au site, ce qui a conduit l'autorité intimée à soutenir que ce document impliquait de toute manière une instruction auprès du SABRA et que le tribunal ne pouvait en examiner la pertinence en première instance. Cette question sera évoquée après l'examen du principe de prévention et de ses incidences dans la présente procédure.</w:t>
      </w:r>
    </w:p>
    <w:p>
      <w:r>
        <w:rPr>
          <w:b/>
        </w:rPr>
        <w:t>E. 4</w:t>
      </w:r>
    </w:p>
    <w:p>
      <w:r>
        <w:t>En droit fédéral, la protection contre les effets nocifs ou gênants causés notamment par les rayonnements non ionisants issus des antennes de téléphonie mobile est régie par la LPE et les ordonnances qui en découlent (cf. ATF 138 II</w:t>
      </w:r>
    </w:p>
    <w:p>
      <w:r>
        <w:t>- 17/30 - A/4125/2020 173 consid. 5.1 ; arrêt 1C_97/2018 du 3 septembre 2019 consid. 3.1 ; J. DRITTENBASS, op.cit., p. 140). Selon l'art. 1 al. 1 LPE, la loi sur la protection de l'environnement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Pour l'évaluation des effets nocifs ou gênants, le Conseil fédéral fixe par voie d'ordonnance des valeurs limites d'immission (art. 13 al. 1 LPE). Selon l'art. 14 let. a LPE, les valeurs limites d'immission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w:t>
      </w:r>
    </w:p>
    <w:p>
      <w:r>
        <w:rPr>
          <w:b/>
        </w:rPr>
        <w:t>E. 5</w:t>
      </w:r>
    </w:p>
    <w:p>
      <w:r>
        <w:t>Sur la base de la délégation de compétence de l'art. 13 al. 1 LPE, le Conseil fédéral a édicté l'ordonnance sur la protection contre le rayonnement non ionisant du 23 décembre 1999 (ORNI - RS 814.710)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valeurs limites d'immission qui doivent être respectées partout où des personnes peuvent être présentes (art. 13 al. 1 et annexe 2 ORNI ; ATF 126 II 399 consid. 3a ; arrêt du Tribunal fédéral 1C_627/2019 du 6 octobre 2020 consid. 3.1). En outre, le Conseil fédéral a fixé des valeurs limites d'installation pour concrétiser le principe de précaution en vertu de l'art. 11 al. 2 LPE, ces valeurs s'entendant également pour les antennes adaptatives au sujet desquelles l'ORNI a été modifiée le 17 décembre 2021 avec entrée en vigueur des nouvelles dispositions le 1er janvier 2022 (Recueil officiel RO 2021 901) (art. 3 al. 6 et art. 4 al. 1, ainsi que l'annexe 1 ch. 62, 63 et 64 ORNI). Les valeurs limites</w:t>
      </w:r>
    </w:p>
    <w:p>
      <w:r>
        <w:t>- 18/30 - A/4125/2020 d'installation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valeurs limites d'installation, le Conseil fédéral a créé une marge de sécurité par rapport aux dangers avérés pour la santé (cf. ATF 128 II 378 consid. 6.2.2 ; arrêts du Tribunal fédéral 1C_627/2019 du 6 octobre 2020 consid. 3.1 ; 1C_576/2016 du 27 octobre 2017 consid. 3.5.1). Dans les locaux à utilisation sensible (LUS), les installations de radiocommunication mobile doivent toujours respecter la valeur limite d'installation d'une installation donnée (art. 3 al. 3 et al. 6, art. 4 al. 1 et annexe 1 ch. 65 ORNI ; cf. ATF 128 II 378 consid. 6.2.2 ; arrêt du Tribunal fédéral 1C_627/2019 du 6 octobre 2020 consid. 3.1). L'annexe 1 ch. 62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Selon l'al. 4, le périmètre d’un groupe d’antennes est une surface horizontale formée par les cercles de rayon r autour de chaque antenne du groupe d’antennes. La valeur du rayon r, exprimée en mètres, se calcule selon la formule: r = F √ ; explication des symboles: a. F: facteur de fréquence. Il vaut: 1. 2,63 pour les groupes d’antennes qui émettent exclusivement dans la gamme de fréquence autour de 900 MHz ou dans des gammes de fréquence plus basses, 2. 1,76 pour les groupes d’antennes qui émettent exclusivement dans la gamme de fréquence autour de 1800 MHz ou dans des gammes de fréquence plus élevées, 3. 2,10 pour tous les autres groupes d’antennes; b. ERP90: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w:t>
      </w:r>
    </w:p>
    <w:p>
      <w:r>
        <w:t>- 19/30 - A/4125/2020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 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w:t>
      </w:r>
    </w:p>
    <w:p>
      <w:r>
        <w:rPr>
          <w:b/>
        </w:rPr>
        <w:t>E. 6</w:t>
      </w:r>
    </w:p>
    <w:p>
      <w:r>
        <w:t>Selon l'annexe 1 ch. 63 al. 3 ORNI, les facteurs de correction KAA suivants s’appliquent: Nombre de sub arraysFacteur de correction KAA 64 et plus ≥ 0,10 32 à 63 ≥ 0,13 16 à 31 ≥ 0,20</w:t>
      </w:r>
    </w:p>
    <w:p>
      <w:r>
        <w:rPr>
          <w:b/>
        </w:rPr>
        <w:t>E. 8</w:t>
      </w:r>
    </w:p>
    <w:p>
      <w:r>
        <w:t>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 Sur cette base, l'OFEV a publié le 23 février 2021 un document intitulé « Explications concernant les antennes adaptatives et leur évaluation selon l’ordonnance sur la protection contre le rayonnement non ionisant (ORNI) » (ci- 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w:t>
      </w:r>
    </w:p>
    <w:p>
      <w:r>
        <w:t>- 21/30 - A/4125/2020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w:t>
      </w:r>
    </w:p>
    <w:p>
      <w:r>
        <w:t>- 22/30 - A/4125/2020 l'installation est fournie comme auparavant au moyen de la fiche complémentaire 4a de la fiche de données spécifique au site (complément, p. 7 ss).</w:t>
      </w:r>
    </w:p>
    <w:p>
      <w:r>
        <w:rPr>
          <w:b/>
        </w:rPr>
        <w:t>E. 9</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w:t>
      </w:r>
    </w:p>
    <w:p>
      <w:r>
        <w:t>- 23/30 - A/4125/2020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 specialistes/mesures-contre-l-electrosmog/assurance-de-la-qualite-en-ce-qui- concerne-le-respect-des-valeur.html; consulté le 22 septembre 2022). Le Tribunal fédéral a reconnu le système d'assurance qualité comme un instrument de contrôle performant et n'a pas considéré nécessaire de recourir à un contrôle par des mesures de construction (arrêt du Tribunal fédéral 1C_282/2008 du 7 avril 2009 consid. 3.5).</w:t>
      </w:r>
    </w:p>
    <w:p>
      <w:r>
        <w:rPr>
          <w:b/>
        </w:rPr>
        <w:t>E. 10</w:t>
      </w:r>
    </w:p>
    <w:p>
      <w:r>
        <w:t>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w:t>
      </w:r>
    </w:p>
    <w:p>
      <w:r>
        <w:t>- 24/30 - A/4125/2020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11</w:t>
      </w:r>
    </w:p>
    <w:p>
      <w:r>
        <w:t>S'agissant des développements les plus récents, le consortium de projet SwissNIS,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 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 -id-89276.html ; consulté le 22 septembre 2022). En outre, dans un arrêt 1C_339/2021 du 30 juin 2022, le Tribunal fédéral a confirmé sa jurisprudence confirmant l'application des Recommandations de</w:t>
      </w:r>
    </w:p>
    <w:p>
      <w:r>
        <w:t>- 25/30 - A/4125/2020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w:t>
      </w:r>
    </w:p>
    <w:p>
      <w:r>
        <w:rPr>
          <w:b/>
        </w:rPr>
        <w:t>E. 12</w:t>
      </w:r>
    </w:p>
    <w:p>
      <w:r>
        <w:t>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 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 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 septembre 2019. En d'autres termes, les arguments des parties intervenantes dans la présente procédure ont une portée abstraite et ne s'appliquent pas spécifiquement à l'installation litigieuse, celle-ci n'ayant précisément pas fait l'objet d'une autorisation de construire.</w:t>
      </w:r>
    </w:p>
    <w:p>
      <w:r>
        <w:rPr>
          <w:b/>
        </w:rPr>
        <w:t>E. 13</w:t>
      </w:r>
    </w:p>
    <w:p>
      <w:r>
        <w:t>C'est le lieu de préciser que la production par la recourante, durant la présente procédure, de la nouvelle fiche de données spécifique au site établie le 1er février 2022, ne permet pas de donner suite à la conclusion de la recourante relative à l'octroi de l'autorisation de construire, ni à sa conclusion subsidiaire concernant le</w:t>
      </w:r>
    </w:p>
    <w:p>
      <w:r>
        <w:t>- 26/30 - A/4125/2020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w:t>
      </w:r>
    </w:p>
    <w:p>
      <w:r>
        <w:rPr>
          <w:b/>
        </w:rPr>
        <w:t>E. 14</w:t>
      </w:r>
    </w:p>
    <w:p>
      <w:r>
        <w:t>Il résulte de ce qui précède que, dans la mesure où elle se fonde sur le principe de prévention, la décision litigieuse est contraire au droit.</w:t>
      </w:r>
    </w:p>
    <w:p>
      <w:r>
        <w:rPr>
          <w:b/>
        </w:rPr>
        <w:t>E. 15</w:t>
      </w:r>
    </w:p>
    <w:p>
      <w:r>
        <w:t>Il reste cependant à examiner l'autre motif sur lequel se fonde la décision litigieuse, à savoir la clause d'esthétique de l'art. 15 LCI. Plus spécifiquement, cette décision fait siennes les explications de la CMNS selon lesquelles, vu la position proéminente de l'immeuble – implanté sur les falaises de D______– la mise en œuvre de toute installation technique sur la toiture de l'ensemble protégé auquel appartenait l'immeuble risquait d'avoir un impact négatif sur les vues lointaines et sur le paysage.</w:t>
      </w:r>
    </w:p>
    <w:p>
      <w:r>
        <w:rPr>
          <w:b/>
        </w:rPr>
        <w:t>E. 16</w:t>
      </w:r>
    </w:p>
    <w:p>
      <w:r>
        <w:t>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w:t>
      </w:r>
    </w:p>
    <w:p>
      <w:r>
        <w:t>- 27/30 - A/4125/2020</w:t>
      </w:r>
    </w:p>
    <w:p>
      <w:r>
        <w:rPr>
          <w:b/>
        </w:rPr>
        <w:t>E. 17</w:t>
      </w:r>
    </w:p>
    <w:p>
      <w:r>
        <w:t>Chaque fois que l'autorité administrative suit les préavis des commissions consultatives, l'autorité de recours doit s'imposer une certaine retenue, en fonction de son aptitude à trancher le litige (ATA/560/2004 du 22 juin 2004 et réf. cit; ATA/123/2003 du 11 mars 2003).</w:t>
      </w:r>
    </w:p>
    <w:p>
      <w:r>
        <w:rPr>
          <w:b/>
        </w:rPr>
        <w:t>E. 18</w:t>
      </w:r>
    </w:p>
    <w:p>
      <w:r>
        <w:t>En l'espèce, comme l'a pertinemment relevé l'autorité intimée, ce n'est pas l'immeuble lui-même, en tant qu'immeuble protégé, que la CMNS (et par la suite la décision litigieuse) souhaitait préserver. A ce titre, c'est tout à fait à raison que la recourante a relevé que, compte tenu de son implantation et de son élévation de 2 m. au milieu de la toiture, l'installation projetée sera totalement invisible depuis les rues adjacentes, ainsi que cela découle très clairement d'un examen par Google Street View (disponible via le Système d'information du territoire genevois). Ce n'est donc, en effet, que la question des vues lointaines qui est susceptible de poser un problème sous l'angle de la clause d'esthétique de l'art. 15 LCI. Or, la même utilisation de Google Street View permet également d'exclure que l'installation projetée pourrait avoir le moindre impact sur les vues lointaines. Il semble en effet avoir échappé à la CMNS que si, certes, l'ensemble protégé se situe de manière proéminente au-dessus des falaises de D______, le projet litigieux se situe à une trentaine de mètres en arrière du front que présente cet ensemble au-dessus des falaises. Il apparaît ainsi, sur les différentes vues que l'on peut obtenir depuis la rive gauche du Rhône, aussi bien en aval qu'en amont de l'ensemble protégé, que seul l'immeuble de tête est visible, ainsi que sa toiture. Tout élément situé en arrière de l'immeuble de tête est totalement invisible. Quant aux vues lointaines évoquées par la CMNS (sans plus ample précision), qui permettraient éventuellement d'apercevoir tout l'ensemble protégé de la rue du C______, et notamment sa toiture, le tribunal n'en voit pas la possibilité, du moins dans un rayon qui permettrait encore de distinguer l'installation de faibles dimensions. Le site du Bois-de-la-Bâtie, situé de l'autre côté du Rhône à la même hauteur que le quartier de D______, est situé très en aval de la rue du C______, et les vues disponibles via Google Street View montrent là aussi que l'ensemble protégé est à peine perceptible. A l'arrière de la rue de D______, du côté de la couverture des voies CFF, l'installation litigieuse serait manifestement très difficile à percevoir, à nouveau compte tenu de son implantation et sa faible hauteur.</w:t>
      </w:r>
    </w:p>
    <w:p>
      <w:r>
        <w:rPr>
          <w:b/>
        </w:rPr>
        <w:t>E. 19</w:t>
      </w:r>
    </w:p>
    <w:p>
      <w:r>
        <w:t>C'est donc de manière manifestement abusive que la CMNS a évalué négativement l'impact que pourrait avoir le projet sur les vues lointaines ou sur le paysage. Dans cette mesure, il n'y a pas lieu d'examiner si la recourante aurait pu trouver un emplacement alternatif, comme le soutiennent l'autorité intimée et la commune intervenante.</w:t>
      </w:r>
    </w:p>
    <w:p>
      <w:r>
        <w:rPr>
          <w:b/>
        </w:rPr>
        <w:t>E. 20</w:t>
      </w:r>
    </w:p>
    <w:p>
      <w:r>
        <w:t>Au vu de ce qui précède, les deux motifs invoqués par la décision litigieuse étant infondé, cette dernière sera annulée, le recours étant ainsi admis quant à la première de ses conclusions principales.</w:t>
      </w:r>
    </w:p>
    <w:p>
      <w:r>
        <w:t>- 28/30 - A/4125/2020</w:t>
      </w:r>
    </w:p>
    <w:p>
      <w:r>
        <w:rPr>
          <w:b/>
        </w:rPr>
        <w:t>E. 21</w:t>
      </w:r>
    </w:p>
    <w:p>
      <w:r>
        <w:t>Conformément à ce qui précède (cf. ci-dessus consid. 13), le dossier sera renvoyé à l'autorité intimée afin qu'elle en reprenne l'instruction, le recours étant ainsi rejeté quant à la seconde de ses conclusions principales et la seconde de ses conclusions subsidiaires.</w:t>
      </w:r>
    </w:p>
    <w:p>
      <w:r>
        <w:rPr>
          <w:b/>
        </w:rPr>
        <w:t>E. 22</w:t>
      </w:r>
    </w:p>
    <w:p>
      <w:r>
        <w:t>À cet égard, il est précisé que le présent jugement constitue une décision incidente.</w:t>
      </w:r>
    </w:p>
    <w:p>
      <w:r>
        <w:rPr>
          <w:b/>
        </w:rPr>
        <w:t>E. 23</w:t>
      </w:r>
    </w:p>
    <w:p>
      <w:r>
        <w:t>Le recours est ainsi partiellement admis.</w:t>
      </w:r>
    </w:p>
    <w:p>
      <w:r>
        <w:rPr>
          <w:b/>
        </w:rPr>
        <w:t>E. 24</w:t>
      </w:r>
    </w:p>
    <w:p>
      <w:r>
        <w:t>Vu l'issue du litige, il ne sera pas perçu d'émolument (art. 87 al. 1 LPA et 1 et 2 du règlement sur les frais, émoluments et indemnités en procédure administrative du 30 juillet 1986 - RFPA - E 5 10.03) et son avance de frais de CHF 200.- sera restituée à la recourante.</w:t>
      </w:r>
    </w:p>
    <w:p>
      <w:r>
        <w:rPr>
          <w:b/>
        </w:rPr>
        <w:t>E. 25</w:t>
      </w:r>
    </w:p>
    <w:p>
      <w:r>
        <w:t>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w:t>
      </w:r>
    </w:p>
    <w:p>
      <w:r>
        <w:t>- 29/30 - A/4125/2020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