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JTAPI/1179/2022 vom 3. November 2022</w:t>
      </w:r>
    </w:p>
    <w:p>
      <w:r>
        <w:t>GE Cour de justice, 2022-11-03, FR</w:t>
      </w:r>
    </w:p>
    <w:p>
      <w:r>
        <w:rPr>
          <w:b/>
        </w:rPr>
        <w:t xml:space="preserve">Quelle: </w:t>
      </w:r>
      <w:r>
        <w:t>https://mcp.opencaselaw.ch/entscheid/ge_gerichte_JTAPI_1179_2022</w:t>
      </w:r>
    </w:p>
    <w:p>
      <w:r>
        <w:t>FR: GE_GERICHTE JTAPI/1179/2022 du 3 novembre 2022</w:t>
      </w:r>
    </w:p>
    <w:p>
      <w:r>
        <w:t>IT: GE_GERICHTE JTAPI/1179/2022 del 3 novembre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décision litigieuse se fonde, d'une part, sur le principe de prévention concrétisé par l'art. 11 al. 2 de la loi fédérale sur la protection de l’environnement du 7 octobre 1983 (loi sur la protection de l’environnement, LPE - RS 814.01) et, d'autre part, sur le fait qu'au stade de la requête en autorisation de construire, la recourante n'avait pas produit un extrait de plan d'ensemble. Sur ce dernier point, la recourante a produit ce document durant la présente procédure, ce qui a amené l'autorité intimée à admettre que ce point ne faisait désormais plus l'objet du litige.</w:t>
      </w:r>
    </w:p>
    <w:p>
      <w:r>
        <w:t>- 18/31 - A/3863/2020 Hormis ces deux aspects, la recourante a également produit durant la présente procédure la fiche de données spécifique au site, ce qui a conduit l'autorité intimée à soutenir que ce document impliquait de toute manière une instruction auprès du SABRA et que le tribunal ne pouvait en examiner la pertinence en première instance. Cette question sera évoquée après l'examen du principe de prévention et de ses incidences dans la présente procédure.</w:t>
      </w:r>
    </w:p>
    <w:p>
      <w:r>
        <w:rPr>
          <w:b/>
        </w:rPr>
        <w:t>E. 4</w:t>
      </w:r>
    </w:p>
    <w:p>
      <w:r>
        <w:t>En droit fédéral, la protection contre les effets nocifs ou gênants causés notamment par les rayonnements non ionisants issus des antennes de téléphonie mobile est régie par la LPE et les ordonnances qui en découlent (cf. ATF 138 II 173 consid. 5.1 ; arrêt 1C_97/2018 du 3 septembre 2019 consid. 3.1 ; J. DRITTENBASS, op.cit., p. 140). Selon l'art. 1 al. 1 LPE, la loi sur la protection de l'environnement a pour but de protéger l'homme, les animaux et les plantes, leurs communautés biotiques et leurs habitats contre les atteintes nuisibles ou incommodantes et de préserver à long terme les bases naturelles de la vie. Les impacts qui pourraient devenir nuisibles ou gênants doivent être limités à un stade précoce par mesure de précaution (art. 1 al. 2 LPE). L'émission de rayonnements est limitée par des mesures à la source (art. 11 al. 1 LPE), notamment par l'édiction de valeurs limites d'émission dans les ordonnances (art. 12 al. 1 let. a et al. 2 LPE). Pour l'évaluation des effets nocifs ou gênants, le Conseil fédéral fixe par voie d'ordonnance des valeurs limites d'immission (art. 13 al. 1 LPE). Selon l'art. 14 let. a LPE, les valeurs limites d'immission doivent être fixées de telle manière que des immissions inférieures à ces valeurs ne mettent pas en danger l'homme, les animaux et les plantes, leurs communautés biotiques et leurs habitats selon l'état de la science ou l'expérience. Bien que la disposition précitée se réfère à la pollution atmosphérique, elle s'applique également en règle générale à d'autres immissions, notamment celles causées par les rayonnements non ionisants (cf. ATF 146 II 17 consid. 6.5 ; 126 II 399 consid. 4b ; 124 II 219 consid. 7a ; arrêts du Tribunal fédéral 1C_579/2017 du 18 juillet 2018 consid. 5.5 ; 1C_450/2010 du 12 avril 2011 consid. 3.3).</w:t>
      </w:r>
    </w:p>
    <w:p>
      <w:r>
        <w:rPr>
          <w:b/>
        </w:rPr>
        <w:t>E. 5</w:t>
      </w:r>
    </w:p>
    <w:p>
      <w:r>
        <w:t>Sur la base de la délégation de compétence de l'art. 13 al. 1 LPE, le Conseil fédéral a édicté l'ordonnance sur la protection contre le rayonnement non ionisant du 23 décembre 1999 (ORNI - RS 814.710) pour protéger les personnes contre les rayonnements non ionisants nocifs ou gênants provenant de l'exploitation d'installations fixes (art. 1 ORNI). Cette ordonnance règle les limites d'émission ainsi que les limites d'immission pour les émetteurs de radiocommunication mobile et les raccordements d'abonnés sans fil (cf. art. 2 al. 1 let. a, et annexe 1 ch. 6, ainsi que l'annexe 2 de l'ORNI ; ATF 138 II 173 consid. 5.1 ; arrêt du Tribunal fédéral 1C_97/2018 du 3 septembre 2019 consid. 3.1). Pour se protéger contre les effets thermiques scientifiquement fondés du rayonnement des installations de radiocommunication mobile, l'ORNI prévoit des valeurs limites</w:t>
      </w:r>
    </w:p>
    <w:p>
      <w:r>
        <w:t>- 19/31 - A/3863/2020 d'immission qui doivent être respectées partout où des personnes peuvent être présentes (art. 13 al. 1 et annexe 2 ORNI ; ATF 126 II 399 consid. 3a ; arrêt du Tribunal fédéral 1C_627/2019 du 6 octobre 2020 consid. 3.1). En outre, le Conseil fédéral a fixé des valeurs limites d'installation pour concrétiser le principe de précaution en vertu de l'art. 11 al. 2 LPE, ces valeurs s'entendant également pour les antennes adaptatives au sujet desquelles l'ORNI a été modifiée le 17 décembre 2021 avec entrée en vigueur des nouvelles dispositions le 1er janvier 2022 (Recueil officiel RO 2021 901) (art. 3 al. 6 et art. 4 al. 1, ainsi que l'annexe 1 ch. 62, 63 et 64 ORNI). Les valeurs limites d'installation ne sont pas directement liées à des dangers avérés pour la santé, mais ont été fixées en fonction de la faisabilité technique et opérationnelle ainsi que de la viabilité économique afin de minimiser le risque d'effets nocifs, dont certains ne sont que soupçonnés et pas encore prévisibles (ATF 126 II 399 consid. 3b ; arrêt du Tribunal fédéral 1C_627/2019 du 6 octobre 2020 consid. 3.1). Avec les valeurs limites d'installation, le Conseil fédéral a créé une marge de sécurité par rapport aux dangers avérés pour la santé (cf. ATF 128 II 378 consid. 6.2.2 ; arrêts du Tribunal fédéral 1C_627/2019 du 6 octobre 2020 consid. 3.1 ; 1C_576/2016 du 27 octobre 2017 consid. 3.5.1). Dans les locaux à utilisation sensible (LUS), les installations de radiocommunication mobile doivent toujours respecter la valeur limite d'installation d'une installation donnée (art. 3 al. 3 et al. 6, art. 4 al. 1 et annexe 1 ch. 65 ORNI ; cf. ATF 128 II 378 consid. 6.2.2 ; arrêt du Tribunal fédéral 1C_627/2019 du 6 octobre 2020 consid. 3.1). L'annexe 1 ch. 62 ORNI prévoit qu'un groupe d’antennes comprend toutes les antennes émettrices fixées sur un mât ou sur le toit ou la façade d’un bâtiment (al. 1). Les groupes d’antennes émettant dans des conditions de proximité spatiale comptent comme une seule installation, indépendamment de l’ordre dans lequel ils sont construits ou modifiés (al. 2). Deux groupes d’antennes émettent dans des conditions de proximité spatiale lorsqu’au moins une antenne de chaque groupe se trouve dans le périmètre de l’autre groupe (al. 3). Selon l'al. 4, le périmètre d’un groupe d’antennes est une surface horizontale formée par les cercles de rayon r autour de chaque antenne du groupe d’antennes. La valeur du rayon r, exprimée en mètres, se calcule selon la formule: r = F √ ; explication des symboles: a. F: facteur de fréquence. Il vaut: 1. 2,63 pour les groupes d’antennes qui émettent exclusivement dans la gamme de fréquence autour de 900 MHz ou dans des gammes de fréquence plus basses, 2. 1,76 pour les groupes d’antennes qui émettent exclusivement dans la gamme de fréquence autour de 1800 MHz ou dans des gammes de fréquence plus élevées,</w:t>
      </w:r>
    </w:p>
    <w:p>
      <w:r>
        <w:t>- 20/31 - A/3863/2020 3. 2,10 pour tous les autres groupes d’antennes; b. ERP90: ERP cumulée, exprimée en W, émise par les antennes d’un groupe d’antennes dans un secteur azimutal de 90° dans le mode d’exploitation déterminant; le secteur azimutal déterminant est celui dans lequel est émise l’ERP cumulée la plus élevée. Selon l'al. 5, par modification d’une installation, on entend: a. la modification de l’emplacement d’antennes émettrices; b. le remplacement d’antennes émettrices par d’autres ayant un diagramme d’antenne différent; c. l’extension par ajout d’antennes émettrices; d. l’augmentation de l’ERP au-delà de la valeur maximale autorisée, ou e. la modification des directions d’émission au-delà du domaine angulaire autorisé. L’application d’un facteur de correction aux antennes émettrices adaptatives existantes en vertu du ch. 63, al. 2, n’est pas considérée comme une modification d’une installation (annexe 1 ch. 62 al. 5bis ORNI). Par antennes émettrices adaptatives, on entend les antennes émettrices exploitées de sorte que leur direction d’émission ou leur diagramme d’antenne est adapté automatiquement selon une périodicité rapprochée (annexe 1 ch. 62 al. 6 ORNI). L'annexe 1 ch. 63 ORNI prévoit que par mode d’exploitation déterminant, on entend le mode d’exploitation dans lequel un maximum de conversations et de données est transféré, l’émetteur étant au maximum de sa puissance (al. 1). S’agissant des antennes émettrices adaptatives qui possèdent au moins huit sous- ensembles d’antennes commandés séparément (sub arrays), un facteur de correction KAA peut être appliqué à l’ERP maximale lorsque les antennes émettrices sont équipées d’une limitation de puissance automatique. Cette limitation vise à garantir que, durant l’exploitation, l’ERP moyenne sur une durée de six minutes ne dépasse pas l’ERP corrigée (al. 2).</w:t>
      </w:r>
    </w:p>
    <w:p>
      <w:r>
        <w:rPr>
          <w:b/>
        </w:rPr>
        <w:t>E. 6</w:t>
      </w:r>
    </w:p>
    <w:p>
      <w:r>
        <w:t>Selon l'annexe 1 ch. 63 al. 3 ORNI, les facteurs de correction KAA suivants s’appliquent: Nombre de sub arraysFacteur de correction KAA 64 et plus ≥ 0,10 32 à 63 ≥ 0,13 16 à 31 ≥ 0,20</w:t>
      </w:r>
    </w:p>
    <w:p>
      <w:r>
        <w:t>- 21/31 - A/3863/2020</w:t>
      </w:r>
    </w:p>
    <w:p>
      <w:r>
        <w:rPr>
          <w:b/>
        </w:rPr>
        <w:t>E. 8</w:t>
      </w:r>
    </w:p>
    <w:p>
      <w:r>
        <w:t>Au sens de l'art. 12 al. 2 ORNI, pour vérifier si la valeur limite d’installation, au sens de l’annexe 1, n’est pas dépassée, l'autorité procède ou fait procéder à des mesures ou à des calculs, ou elle se base sur des données provenant de tiers. L'OFEV recommande des méthodes de mesure et de calcul appropriées. Sur cette base, l'OFEV a publié le 23 février 2021 un document intitulé « Explications concernant les antennes adaptatives et leur évaluation selon l’ordonnance sur la protection contre le rayonnement non ionisant (ORNI) » (ci- après: explications OFEV - https://www.newsd.admin.ch/newsd/</w:t>
      </w:r>
    </w:p>
    <w:p>
      <w:r>
        <w:t>- 22/31 - A/3863/2020 message/attachments/65389.pdf; consulté le 22 septembre 2022). Il y est notamment fait état de deux études effectuées à l'étranger en 2019 et 2020 ainsi que de mesures et simulations réalisées par l'office fédéral de la communication durant l'été 2020 sur deux antennes adaptatives autorisées de deux opérateurs différents. L'OFEV retient en conclusion, sur la base des résultats de diverses études de simulation et de mesures réalisées entre 2017 et 2020, que « Les puissances d’émission moyennes des antennes adaptatives (avec différents nombres d’éléments d’antenne), calculées sur six minutes, se situent, selon le scénario, dans une plage comprise entre environ 1 % (0,01 ou -20 dB) et 50 % (0,5 ou -3 dB) de la puissance maximale théorique. L’éventail des résultats des études est très large. En ce qui concerne les antennes réseau 8×8, les puissances émettrices déterminées se situent généralement entre environ 10 % (0,1 ou -10 dB) et 32 % (0,32 ou -5 dB) de la puissance maximale théorique. Les études ont également montré que la différence entre la puissance d’émission maximale déterminée et la puissance d’émission maximale théorique dépend de la taille de l’antenne, c’est-à-dire du nombre d’unités d’antenne activables indépendamment (réseaux ou sub arrays). On a calculé, sur la base d’études portant sur différentes tailles d’antennes, un facteur de correction gradué pouvant être appliqué à la puissance d’émission maximale possible des antennes adaptatives » (Explications OFEV, p. 17 à 20). Egalement en date du 23 février 2021, l'OFEV a publié un rapport intitulé « Antennes adaptative – Complément à la recommandation d'exécution de l'ordonnance sur la protection contre le rayonnement non ionisant (ORNI) concernant les stations de base pour téléphonie mobile et raccordements sans fil (WLL) de l'OFEFP [actuellement : OFEV] de 2002 » (ci-après: le complément – https://www.newsd.admin.ch/ newsd/message/attachments/65394.pdf; consulté le 22 septembre 2022). Avant la publication du complément, des antennes adaptatives avaient été autorisées sur la base du scénario du pire. Le complément définit désormais comment les paramètres techniques des antennes adaptatives doivent être déclarés dans la fiche de données spécifique au site et comment leur contribution à l'intensité du champ électrique de l'installation de téléphonie mobile doit être calculée. Il indique en outre comment les antennes adaptatives doivent être contrôlées dans les systèmes d'assurance de la qualité utilisés par les opérateurs (complément, p. 6). Il y est aussi précisé que conformément à l’annexe 1 ch. 63 de l’ORNI révisée, le mode d’exploitation déterminant pour les antennes adaptatives correspond également au mode d’exploitation dans lequel un maximum de conversations et de données est transféré, l’émetteur étant au maximum de sa puissance. En raison des propriétés spécifiques des antennes adaptatives, la variabilité des directions d’émission et des diagrammes d’antenne doit également être prise en considération. Concrètement, il faut aussi tenir compte du fait que les antennes</w:t>
      </w:r>
    </w:p>
    <w:p>
      <w:r>
        <w:t>- 23/31 - A/3863/2020 adaptatives ne peuvent pas émettre en même temps à la puissance d'émission maximale possible dans toutes les directions, ce qui correspond au scénario du pire. Dans la réalité, la puissance d'émission est répartie pour les signaux qui sont émis dans différentes directions. En outre, conformément à l'annexe 1 ch. 64 ORNI, dans un LUS, la preuve par calcul du respect de la valeur limite de l'installation est fournie comme auparavant au moyen de la fiche complémentaire 4a de la fiche de données spécifique au site (complément, p. 7 ss).</w:t>
      </w:r>
    </w:p>
    <w:p>
      <w:r>
        <w:rPr>
          <w:b/>
        </w:rPr>
        <w:t>E. 9</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Celle-ci doit contenir les données techniques et opérationnelles actuelles et prévues de l'installation, dans la mesure où celles-ci sont déterminantes pour l'émission de rayonnements (art. 11 al. 2 let. a ORNI). Cela inclut notamment la puissance apparente rayonnée (ERP ; art. 3 al. 9 ORNI), y compris la direction du faisceau principal des antennes, et si l'antenne fonctionne en mode adaptatif ou non. Les données correspondantes servent de bases pour le permis de construire et sont contraignantes pour l'opérateur ; toute augmentation de l'ERP au-delà de la valeur maximale autorisée et toute direction de transmission au-delà du domaine angulaire autorisé est considérée comme un changement de l'installation, ayant pour conséquence qu'une nouvelle fiche de données spécifique au site doit être présentée (annexe 1 ch. 62 al. 5 let. d et e ORNI ; ATF 128 II 378 [arrêt du Tribunal fédéral 1A.264/2000 du 24 septembre 2002] consid. 8.1, non publié). La fiche de données du site doit également contenir des informations sur le lieu accessible où ce rayonnement est le plus fort, sur les trois LUS où ce rayonnement est le plus fort, et sur tous les LUS où la valeur limite de l’installation au sens de l’annexe 1 est dépassée (art. 11 al. 2 let. c ORNI). Il est vrai que la prévision calculée qui doit être faite sur la base de ces informations est sujette à certaines incertitudes, car elle prend en compte les principaux facteurs d'influence mais ne tient pas compte de toutes les subtilités de la propagation du rayonnement. Cependant, le Tribunal fédéral a précisé que dans ce calcul, l'incertitude de mesure ne doit être ni ajoutée ni déduite. Seules les valeurs mesurées doivent être prises en compte (arrêts du Tribunal fédéral 1C_653/2013 du 12 août 2014 consid. 3.4; 1C_132/2007 du 30 janvier 2008 consid. 4.4-4.6 in RDAF 2009 I 536). En effet, c'est pour prendre en compte cette incertitude que des mesures de réception doivent être effectuées après la mise en service de l'installation si, selon la prévision calculée, 80 % de la valeur limite de l'installation est atteinte à un LUS (complément recommandation OFEV, ch. 2.1.8 ; Benjamin WITTWER, Bewilligung von Mobilfunkanlagen, 2e éd., Zurich 2008, p. 61 s. ; arrêt du Tribunal fédéral 1A.148/2002 du 12 août 2003 consid. 4.3.1 s.). Si, sur la base de ces mesures, il s'avère que la valeur limite de l'installation est dépassée lors du fonctionnement, la puissance d'émission maximale admissible</w:t>
      </w:r>
    </w:p>
    <w:p>
      <w:r>
        <w:t>- 24/31 - A/3863/2020 doit être redéfinie et le respect des valeurs prescrites doit être démontré par des mesures supplémentaires (cf. arrêt du tribunal fédéral 1C_681/2017 du 1 décembre 2019 consid. 4.5). De surcroît, le risque d'un pronostic erroné est supporté par le maître d'ouvrage dans la mesure où il peut encore être amené à prendre des mesures pour assurer le respect des valeurs limites ultérieurement, c'est-à-dire après la mise en service de l'installation (cf. ATF 130 II 32 consid. 2.4). Il sied également d'ajouter qu'au printemps 2005, le Tribunal fédéral avait estimé qu'il fallait mieux contrôler l'exploitation des antennes de téléphonie mobile, afin de garantir en particulier que les puissances émettrices et les directions d'émission autorisées soient respectées. Sur cette base, l'OFEV a mis en place un système d'assurance qualité prévoyant que pour chaque antenne, les valeurs correspondant à la direction et à la puissance émettrice maximale sont enregistrées dans une banque de données et comparées quotidiennement aux valeurs autorisées. Ce système est examiné périodiquement et certifié par un organe indépendant. Swisscom a mis en place un tel système de sécurité, dont les nouveaux paramètres relatifs aux antennes adaptatives ont été validé par l'OFCOM en date du 23 juin 2021 (Validierungszertifikat QSS Swisscom, accessible à l'adresse https://www.bafu.admin.ch/bafu/fr/home/themes/ electrosmog/info- specialistes/mesures-contre-l-electrosmog/assurance-de-la-qualite-en-ce-qui- concerne-le-respect-des-valeur.html; consulté le 22 septembre 2022). Le Tribunal fédéral a reconnu le système d'assurance qualité comme un instrument de contrôle performant et n'a pas considéré nécessaire de recourir à un contrôle par des mesures de construction (arrêt du Tribunal fédéral 1C_282/2008 du 7 avril 2009 consid. 3.5).</w:t>
      </w:r>
    </w:p>
    <w:p>
      <w:r>
        <w:rPr>
          <w:b/>
        </w:rPr>
        <w:t>E. 10</w:t>
      </w:r>
    </w:p>
    <w:p>
      <w:r>
        <w:t>Au sujet des risques pour la santé, la jurisprudence du Tribunal fédéral retient que 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 Les valeurs limites spécifiées dans l'ORNI pour la protection contre les rayonnements non ionisants sont fondées sur des résultats scientifiquement étayés concernant les risques pour la santé liés aux antennes de radiotéléphonie mobile. Le Conseil fédéral ou son autorité spécialisée, l'OFEV, suit en permanence l'évolution de la science avec un groupe consultatif d'experts (BERENIS) et doit, si nécessaire, adapter les valeurs limites à l'état de la science ou de l'expérience (arrêts 1C_518/2018 du 14 avril 2020 consid. 5.1.1 ; 1C_348/2017 du 21 février 2018 consid. 4 ; 1C_118/2010 du 20 octobre 2010 consid. 4.2.3). Cela étant, vu la marge de manœuvre dont dispose le Conseil fédéral pour l'établissement des valeurs limites, seuls de solides éléments démontrant de nouvelles connaissances</w:t>
      </w:r>
    </w:p>
    <w:p>
      <w:r>
        <w:t>- 25/31 - A/3863/2020 fondées scientifiquement justifient de les remettre en cause (arrêts 1C_518/2018 précité consid. 5.1.1 ; 1C_323/2017 du 15 janvier 2018 consid. 2.5). À cet égard, le Tribunal fédéral a confirmé qu'en l'état des connaissances actuelles, il n'existait pas d'indices en vertu desquels ces valeurs limites devraient être modifiées (arrêts 1C_518/2018 précité consid. 5.1.1 ; 1C_348/2017 du 21 février 2018 consid. 4.3; 1C_323/2017 du 15 janvier 2018 consid. 2.5). La doctrine relève également que si des incertitudes scientifiques existent, le volume des études scientifiques permettant d'apprécier les effets des antennes de téléphonie mobile sur le corps humain a fortement augmenté et leurs conclusions emportent le constat qu'aucun effet du rayonnement de la téléphonie mobile sur la santé n’a pu être prouvé de manière cohérente en-dessous des valeurs limites de l'ORNI (Martin RÖÖSLI, Gesundheitsgefährdungsabschätzung: Auswirkungen von nichtionisierender Strahlung auf den Menschen, DEP 2021, p. 117-133, p. 127 ss). Sans indice concret indiquant que ces valeurs limites devraient être modifiées, le Tribunal fédéral a jugé, à diverses reprises, que les valeurs limites fixées dans l'ORNI étaient conformes à la Constitution et à la loi (cf. arrêts du Tribunal fédéral 1C_375/2020 du 5 mai 2021 consid. 3.2.5 ; 1C_518/2018 du 14 avril 2020 consid. 5.1.1 ; 1C_348/2017 du 21 février 2018 consid. 4.3 ; 1C_323/ 2017 du 15 janvier 2018 consid. 2.5). Le Tribunal fédéral en a tiré qu'il existe une présomption de respect du principe de prévention si les valeurs limites prévues par l'ORNI sont respectées (arrêt du Tribunal fédéral 1C_518/2018 précité consid. 5.3). Par ailleurs, la CourEDH a en particulier confirmé, sous l'angle de l'art. 8 CEDH, que tant que la nocivité des antennes pour la population n'était pas prouvée scientifiquement, elle restait dans une large mesure spéculative, de sorte qu'on ne pouvait imposer à la Confédération l'obligation d'adopter des mesures plus amples (ACEDH, Luginbühl c. Suisse du 17 janvier 2006 ; arrêt du Tribunal fédéral 1C_518/2018 précité consid. 5.1.1).</w:t>
      </w:r>
    </w:p>
    <w:p>
      <w:r>
        <w:rPr>
          <w:b/>
        </w:rPr>
        <w:t>E. 11</w:t>
      </w:r>
    </w:p>
    <w:p>
      <w:r>
        <w:t>S'agissant des développements les plus récents, le consortium de projet SwissNIS, sur mandat de l'OFEV, a rendu le 24 mai 2022 son premier rapport de monitoring sur les mesures d'exposition aux rayonnements non ionisants (https://www.newsd.admin.ch/newsd/message/ attachments/71991.pdf ; consulté le 22 septembre 2022). L'OFEV considère que « Les premiers résultats du rapport de monitoring montrent que la protection de la santé est garantie. Dans les lieux fréquentés de manière habituelle, les intensités de champ se situent clairement en- dessous de la valeur limite d'immission. Les valeurs les plus élevées ont été mesurées aux stations de tram, dans les zones industrielles et au centre des grandes villes, tandis que les valeurs les plus faibles ont été enregistrées dans les zones agricoles et dans les espaces naturels. Les mesures concernant les logements n'en sont qu'à leur début. Les mesures effectuées jusqu'à présent révèlent des valeurs d'exposition faibles, mais sont toutefois peu nombreuses. C'est pourquoi il n'est pas encore possible d'en tirer des conclusions générales » (https://www.bafu.admin.ch/bafu/fr/home/themes/electrosmog/communiques.msg -id-89276.html ; consulté le 22 septembre 2022).</w:t>
      </w:r>
    </w:p>
    <w:p>
      <w:r>
        <w:t>- 26/31 - A/3863/2020 En outre, dans un arrêt 1C_339/2021 du 30 juin 2022, le Tribunal fédéral a confirmé sa jurisprudence confirmant l'application des Recommandations de mesures, OFEFP [éd.], 2002, selon lesquelles, si, selon le pronostic calculé, la valeur limite de l'installation est atteinte à 80 % dans un lieu à utilisation sensible, une mesure de réception de rayonnement non ionisant doit être effectuée après la mise en service de l'installation pour contrôler le pronostic calculé. À cet égard, le Tribunal fédéral a examiné la conformité au droit de la condition posée par l'autorisation de construire sur les mesures devant être effectuées après la mise en service de l'installation transformée, notamment dans l'un des LUS mentionné dans la fiche de données spécifique au site, et a considéré que cette condition correspondait aux Recommandations susmentionnées.</w:t>
      </w:r>
    </w:p>
    <w:p>
      <w:r>
        <w:rPr>
          <w:b/>
        </w:rPr>
        <w:t>E. 12</w:t>
      </w:r>
    </w:p>
    <w:p>
      <w:r>
        <w:t>Dans le cas d'espèce, compte tenu de ce qui précède, c'est en vain que les parties intervenantes invoquent les effets nocifs des rayonnements non ionisants sur la santé humaine, qu'ils soient scientifiquement démontrés ou pas suffisamment en l'état. En effet, c'est précisément en raison du danger avéré ou potentiel de ces rayonnements que le Conseil fédéral a déterminé dans l'ORNI des valeurs limites en deçà desquelles aucun effet du rayonnement de la téléphonie mobile n'a jusqu'ici été prouvé de manière cohérente. S'agissant de l'incertitude de la mesure des rayonnements émis par une installation, les considérants qui précèdent conduisent également à rejeter les arguments des parties intervenantes. Les recommandations de l'OFEV tiennent précisément compte des incertitudes qui pèsent autour de la mesure du rayonnement provoqué par une installation de téléphonie mobile, la jurisprudence susrappelée du Tribunal fédéral précisant que l'incertitude de mesure ne doit être ni ajoutée ni déduite, que seules les valeurs mesurées doivent être prises en compte et enfin que c'est pour prendre en compte cette incertitude que des mesures de réception doivent être effectuées après la mise en service de l'installation si, selon la prévision calculée, 80 % de la valeur limite de l'installation est atteinte à un LUS. Outre ces considérations générales qui conduisent à rejeter les arguments des parties intervenantes relatifs au principe de prévention et à l'incertitude des mesures du rayonnement non ionisant, il faut ajouter que le présent litige vise un refus d'autorisation de construire notifié à la recourante alors que le SABRA avait requis un complément d'instruction et ne s'était vraisemblablement même pas penché sur la fiche de données spécifique dans sa version du 27 septembre 2018. En d'autres termes, les arguments des parties intervenantes dans la présente procédure ont une portée abstraite et ne s'appliquent pas spécifiquement à l'installation litigieuse, celle-ci n'ayant précisément pas fait l'objet d'une autorisation de construire.</w:t>
      </w:r>
    </w:p>
    <w:p>
      <w:r>
        <w:rPr>
          <w:b/>
        </w:rPr>
        <w:t>E. 13</w:t>
      </w:r>
    </w:p>
    <w:p>
      <w:r>
        <w:t>C'est le lieu de préciser que la production par la recourante, durant la présente procédure, de la nouvelle fiche de données spécifique au site établie le 21 janvier</w:t>
      </w:r>
    </w:p>
    <w:p>
      <w:r>
        <w:t>- 27/31 - A/3863/2020 2022, ne permet pas de donner suite à la conclusion de la recourante relative à l'octroi de l'autorisation de construire, ni à sa conclusion subsidiaire concernant le renvoi du dossier à l'autorité intimée avec ordre de délivrer l'autorisation sollicitée. Comme l'a relevé à juste titre autorité intimée, le tribunal est une instance judiciaire de contrôle de la légalité des décisions prises par les autorités administratives et ne peut se substituer à ces dernières en instruisant des questions qui relèvent du préavis d'instances spécialisées. Il incombe en l'espèce au SABRA d'examiner le dossier, notamment sur la base de la nouvelle fiche de données spécifique au site, puis ensuite à l'autorité intimée, si elle estime que l'autorisation peut être octroyée, de l'assortir cas échéant des conditions qui s'imposeraient selon l'ORNI et les recommandations de l'OFEV.</w:t>
      </w:r>
    </w:p>
    <w:p>
      <w:r>
        <w:rPr>
          <w:b/>
        </w:rPr>
        <w:t>E. 14</w:t>
      </w:r>
    </w:p>
    <w:p>
      <w:r>
        <w:t>Il résulte de ce qui précède que, dans la mesure où elle se fonde sur le principe de prévention, la décision litigieuse est contraire au droit.</w:t>
      </w:r>
    </w:p>
    <w:p>
      <w:r>
        <w:rPr>
          <w:b/>
        </w:rPr>
        <w:t>E. 15</w:t>
      </w:r>
    </w:p>
    <w:p>
      <w:r>
        <w:t>Il reste cependant à examiner l'autre motif sur lequel se fonde la décision litigieuse, à savoir la clause d'esthétique de l'art. 15 LCI. Plus spécifiquement, cette décision fait siennes les critiques du SMS selon lesquelles, en substance, l'antenne projetée porterait atteinte à la valeur architecturale de l'immeuble et au site de I______.</w:t>
      </w:r>
    </w:p>
    <w:p>
      <w:r>
        <w:rPr>
          <w:b/>
        </w:rPr>
        <w:t>E. 16</w:t>
      </w:r>
    </w:p>
    <w:p>
      <w:r>
        <w:t>Aux termes de l'article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Il se fonde notamment sur le préavis de la commission d'architecture ou, pour les objets qui sont de son ressort, sur celui de la commission des monuments, de la nature et des sites. Il tient compte également, le cas échéant, de ceux émis par la commune ou les services compétents du département. La clause d'esthétique de la disposition susmentionnée constitue une notion juridique indéterminée, laissant un certain pouvoir d'appréciation à l'administration, celle-ci n'étant limitée que par l'excès ou l'abus de pouvoir (art. 61 al. 2 LPA). Dans le système de la LCI, les avis ou préavis des communes, des départements et organismes intéressés n'ont qu'un caractère consultatif, bien que leur rôle soit le plus souvent considéré comme important dans l'appréciation du dossier (Mémorial des séances du Grand Conseil 1988 II p.1640). En particulier, le préavis de la commission des monuments de la nature et des sites, qui est composée de spécialistes en matière d'architecture et d'urbanisme, émis à l'occasion d'un projet concret, revêt un poids prépondérant (ATA H. du 2 mars 1999 et réf. cit.; T. TANQUEREL, "La pesée des intérêts vue par le juge administratif" publié in La pesée globale des intérêts, A. MORAND, 1996, p. 201).</w:t>
      </w:r>
    </w:p>
    <w:p>
      <w:r>
        <w:t>- 28/31 - A/3863/2020</w:t>
      </w:r>
    </w:p>
    <w:p>
      <w:r>
        <w:rPr>
          <w:b/>
        </w:rPr>
        <w:t>E. 17</w:t>
      </w:r>
    </w:p>
    <w:p>
      <w:r>
        <w:t>Chaque fois que l'autorité administrative suit les préavis des commissions consultatives, l'autorité de recours doit s'imposer une certaine retenue, en fonction de son aptitude à trancher le litige (ATA/560/2004 du 22 juin 2004 et réf. cit; ATA/123/2003 du 11 mars 2003).</w:t>
      </w:r>
    </w:p>
    <w:p>
      <w:r>
        <w:rPr>
          <w:b/>
        </w:rPr>
        <w:t>E. 18</w:t>
      </w:r>
    </w:p>
    <w:p>
      <w:r>
        <w:t>En l'espèce, la recourante se méprend sur la portée de l'art. 15 LCI, qui ne limite pas la possibilité de refuser un projet de construction ou de lui imposer des modifications aux seules situations dans lesquelles ce projet interagit avec un objet protégé au sens de la loi sur la protection des monuments, de la nature et des sites du 4 juin 1976 (LPMNS - L 4 05), qu'il s'agisse par exemple d'un bâtiment ou d'un site. Comme l'indique la lettre de cette disposition, il suffit que, par ses dimensions, sa situation ou son aspect extérieur, le projet entraîne un impact nuisible sur le caractère ou l'intérêt d'un quartier, d'une rue ou d'un chemin, d'un site naturel ou de points de vue accessibles au public. En l'occurrence, le dossier ne comporte aucun plan en coupe montrant l'immeuble dans toute sa hauteur et I______ dans sa largeur, ni photomontage, de sorte que l'on ignore l'importance précise de la visibilité du projet litigieux aux alentours. Cela étant, le plan en coupe existant au dossier, même s'il ne montre pas intégralement la hauteur de l'immeuble (le rez-de-chaussée et les deux premiers étages ne sont pas représentés), révèle suffisamment la dimension considérable de l'antenne, laquelle serait manifestement très perceptible au sommet du bâtiment et depuis l'espace dégagé et très particulier de I______. L'antenne projetée n'est pas un objet neutre dans l'espace urbain et la jurisprudence citée par la recourante elle-même fait état de la préoccupation générale concernant le fait de camoufler autant que possible ce type d'installation. Il convient à cet égard de souligner que cette réflexion tient compte de la multiplication de ces installations et donc du fait qu'à défaut de leur imposer d'être aussi discrètes que possible, elles sont susceptibles d'envahir visuellement l'espace public. Par conséquent, sur le principe, les critiques émises par le SMS et la commune intervenante sur le problème esthétique posé par le projet sont tout à fait fondées.</w:t>
      </w:r>
    </w:p>
    <w:p>
      <w:r>
        <w:rPr>
          <w:b/>
        </w:rPr>
        <w:t>E. 19</w:t>
      </w:r>
    </w:p>
    <w:p>
      <w:r>
        <w:t>Cela étant, la mission du département consiste à procéder à la pesée des intérêts en présence, à savoir d'une part l'intérêt consistant à préserver l'espace public d'antennes de téléphonie mobile trop voyantes et d'autre part à permettre aux opérateurs d'assurer une couverture de téléphonie mobile de qualité, ce qui relève d'une tâche de la Confédération (ATF 139 II 271 consid. 11.2; ATF 131 II 545 consid. 2.2 p. 547 s.; arrêt 1C_283/2021 du 21 juillet 2022 consid. 3.1.2). Dans cette mesure, il lui appartient d'instruire le dossier de manière complète afin d'être en mesure d'apprécier correctement l'ensemble des paramètres pertinents. Le fait qu'une instance de préavis critique le projet pour des raisons esthétiques ne suffit ainsi pas pour rejeter la requête en autorisation. Il faut encore donner au requérant la possibilité de démontrer, outre le caractère indispensable de la construction, qu'aucune solution alternative ne soit raisonnablement envisageable.</w:t>
      </w:r>
    </w:p>
    <w:p>
      <w:r>
        <w:t>- 29/31 - A/3863/2020</w:t>
      </w:r>
    </w:p>
    <w:p>
      <w:r>
        <w:rPr>
          <w:b/>
        </w:rPr>
        <w:t>E. 20</w:t>
      </w:r>
    </w:p>
    <w:p>
      <w:r>
        <w:t>Dans le cas d'espèce, l'autorité intimée a invité la recourante, par courrier du 11 février 2019, à se positionner sur les préavis du SMS et de la commune intervenante. Selon les allégués de l'autorité intimée, que la recourante n'a pas contestés, cette dernière n'a pas répondu à cette invitation.</w:t>
      </w:r>
    </w:p>
    <w:p>
      <w:r>
        <w:rPr>
          <w:b/>
        </w:rPr>
        <w:t>E. 21</w:t>
      </w:r>
    </w:p>
    <w:p>
      <w:r>
        <w:t>C'est donc à bon droit que l'autorité intimée a considéré que la preuve de l'absence d'alternative au projet litigieux n'avait pas été apportée au moment où elle a rendu la décision querellée et qu'elle a donc fait prévaloir l'intérêt à préserver le bâtiment et I______ d'une installation inesthétique.</w:t>
      </w:r>
    </w:p>
    <w:p>
      <w:r>
        <w:rPr>
          <w:b/>
        </w:rPr>
        <w:t>E. 22</w:t>
      </w:r>
    </w:p>
    <w:p>
      <w:r>
        <w:t>C'est le lieu de préciser que les explications données par la recourante au stade de la présente procédure sur l'impossibilité d'un emplacement alternatif pour l'antenne litigieuse (en particulier à l'arrière du bâtiment concerné) apparaissent non seulement lacunaires, comme relevé par les parties intimées, mais surtout qu'elles n'ont pas été soumises aux instances spécialisées, dont le SABRA, qui sont mieux à même que le tribunal d'apprécier les aspects techniques discutés par la recourante.</w:t>
      </w:r>
    </w:p>
    <w:p>
      <w:r>
        <w:rPr>
          <w:b/>
        </w:rPr>
        <w:t>E. 23</w:t>
      </w:r>
    </w:p>
    <w:p>
      <w:r>
        <w:t>Le tribunal pourrait ainsi rejeter le recours, l'un des deux motifs de la décision litigieuse apparaissant bien fondé. Cependant, cette solution ne tiendrait pas compte de la divergence de principe qui a opposé la recourante et l'autorité initmée sur le développement de la technologie 5G, divergence qui a conduit la recourante à mettre un terme au dialogue dans le cadre de l'instruction des dossiers concernés. Or, comme on l'a vu, la position de l'autorité intimée sur cette question de principe était infondée, de sorte que le rejet pur et simple du recours entrainerait une conséquence disproportionnée et contraire au principe d'économie de procédure, en obligeant la recourante à déposer une nouvelle requête. Dans la mesure où, pour les motifs exposés plus haut (cf. consid. 13), il y aurait lieu de toute manière de renvoyer le dossier à l'autorité intimée pour complément d'instruction sous l'angle de l'ORNI, il s'avère plus conforme à l'économie de procédure de suivre cette voie et ainsi d'admettre partiellement le recours en ce qu'il conclut à l'annulation de la décision querellée.</w:t>
      </w:r>
    </w:p>
    <w:p>
      <w:r>
        <w:rPr>
          <w:b/>
        </w:rPr>
        <w:t>E. 24</w:t>
      </w:r>
    </w:p>
    <w:p>
      <w:r>
        <w:t>En reprenant l'instruction du dossier, le département invitera également la recourante à le compléter par tous les documents permettant d'apprécier de la manière la plus précise possible l'impact visuel du projet actuel et celui des alternatives envisageables, ainsi que les documents établissant les conséquences techniques (ou l'impossibilité) d'un déplacement de l'antenne. Les instances spécialisées, dont le SABRA et le SMS, devront procéder à l'examen de ces documents de manière à établir et cas échéant confirmer les conséquences techniques et esthétiques d'une solution alternative. Il appartiendra finalement au département de procéder à la pesée des intérêts en présence et de décider s'il se justifie d'imposer une solution alternative, ou si son "coût", notamment en termes d'efficience, est trop important.</w:t>
      </w:r>
    </w:p>
    <w:p>
      <w:r>
        <w:t>- 30/31 - A/3863/2020</w:t>
      </w:r>
    </w:p>
    <w:p>
      <w:r>
        <w:rPr>
          <w:b/>
        </w:rPr>
        <w:t>E. 25</w:t>
      </w:r>
    </w:p>
    <w:p>
      <w:r>
        <w:t>Au vu de ce qui précède, la décision litigieuse sera annulée, le recours étant admis quant à la première de ses conclusions principales, mais rejeté quant à la seconde de ses conclusions principales et la seconde de ses conclusions subsidiaires.</w:t>
      </w:r>
    </w:p>
    <w:p>
      <w:r>
        <w:rPr>
          <w:b/>
        </w:rPr>
        <w:t>E. 26</w:t>
      </w:r>
    </w:p>
    <w:p>
      <w:r>
        <w:t>À cet égard, il est précisé que le présent jugement constitue une décision incidente.</w:t>
      </w:r>
    </w:p>
    <w:p>
      <w:r>
        <w:rPr>
          <w:b/>
        </w:rPr>
        <w:t>E. 27</w:t>
      </w:r>
    </w:p>
    <w:p>
      <w:r>
        <w:t>Le recours est ainsi partiellement admis.</w:t>
      </w:r>
    </w:p>
    <w:p>
      <w:r>
        <w:rPr>
          <w:b/>
        </w:rPr>
        <w:t>E. 28</w:t>
      </w:r>
    </w:p>
    <w:p>
      <w:r>
        <w:t>Vu l'issue du litige, il ne sera pas perçu d'émolument (art. 87 al. 1 LPA et 1 et 2 du règlement sur les frais, émoluments et indemnités en procédure administrative du</w:t>
      </w:r>
    </w:p>
    <w:p>
      <w:r>
        <w:rPr>
          <w:b/>
        </w:rPr>
        <w:t>E. 30</w:t>
      </w:r>
    </w:p>
    <w:p>
      <w:r>
        <w:t>juillet 1986 - RFPA - E 5 10.03) et son avance de frais de CHF 200.- sera restituée à la recourante. 29. Vu l'issue du litige, une indemnité de procédure réduite de CHF 300.-, sera mise à la charge de l'État de Genève, soit pour lui le département du territoire, sera allouée à A______ SA (art. 87 al. 2 à 4 LPA et 6 RFPA). Le montant de cette indemnité tient compte du fait que le conseil de la recourante a produit des écritures identiques dans plusieurs autres dossiers actuellement pendants devant le tribunal, de sorte que si l'issue de ces dossiers devait être identique à celle de la présente procédure, il ne se justifierait pas d'octroyer à chaque fois l'indemnité qui serait normalement allouée pour une activité déployée pour un seul dossier. Cas échéant, en cas d'admission du recours de A______ SA dans un nombre limité des autres dossiers susmentionnés, le montant de l'indemnité octroyée à ces occasions sera réévalué afin de constituer un tout cohérent.</w:t>
      </w:r>
    </w:p>
    <w:p>
      <w:r>
        <w:t>- 31/31 - A/3863/2020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