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JTAPI/1179/2021 vom 24. November 2021</w:t>
      </w:r>
    </w:p>
    <w:p>
      <w:r>
        <w:t>GE Cour de justice, 2021-11-24, FR</w:t>
      </w:r>
    </w:p>
    <w:p>
      <w:r>
        <w:rPr>
          <w:b/>
        </w:rPr>
        <w:t xml:space="preserve">Quelle: </w:t>
      </w:r>
      <w:r>
        <w:t>https://mcp.opencaselaw.ch/entscheid/ge_gerichte_JTAPI_1179_2021</w:t>
      </w:r>
    </w:p>
    <w:p>
      <w:r>
        <w:t>FR: GE_GERICHTE JTAPI/1179/2021 du 24 novembre 2021</w:t>
      </w:r>
    </w:p>
    <w:p>
      <w:r>
        <w:t>IT: GE_GERICHTE JTAPI/1179/2021 del 24 novembre 2021</w:t>
      </w:r>
    </w:p>
    <w:p>
      <w:pPr>
        <w:pStyle w:val="Heading2"/>
      </w:pPr>
      <w:r>
        <w:t>Erwägungen</w:t>
      </w:r>
    </w:p>
    <w:p>
      <w:r>
        <w:rPr>
          <w:b/>
        </w:rPr>
        <w:t>E. 1</w:t>
      </w:r>
    </w:p>
    <w:p>
      <w:r>
        <w:t>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par le destinataire de la décision querellée, le recours est recevable (art. 57, 60 et 62 à 65 de la loi sur la procédure administrative du 12 septembre 1985 - LPA - E 5 10).</w:t>
      </w:r>
    </w:p>
    <w:p>
      <w:r>
        <w:rPr>
          <w:b/>
        </w:rPr>
        <w:t>E. 3</w:t>
      </w:r>
    </w:p>
    <w:p>
      <w:r>
        <w:t>Lorsque la procédure prévue par la loi sur les amendes d'ordre du 18 mars 2016 (LAO - RS 314.1) n'est pas applicable, une infraction aux prescriptions sur la circulation routière entraîne le retrait du permis d'élève-conducteur ou du permis de conduire ou un avertissement (art. 16 al. 2 LCR).</w:t>
      </w:r>
    </w:p>
    <w:p>
      <w:r>
        <w:rPr>
          <w:b/>
        </w:rPr>
        <w:t>E. 4</w:t>
      </w:r>
    </w:p>
    <w:p>
      <w:r>
        <w:t>Pour déterminer la durée et s'il y a lieu de prononcer un retrait d'admonestation, la LCR distingue les infractions légères, moyennement graves et graves (art. 16a à 16c LCR).</w:t>
      </w:r>
    </w:p>
    <w:p>
      <w:r>
        <w:rPr>
          <w:b/>
        </w:rPr>
        <w:t>E. 5</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w:t>
      </w:r>
    </w:p>
    <w:p>
      <w:r>
        <w:t>- 4/7 - A/1539/2021 la personne qui, en violant gravement les règles de la circulation, met sérieusement en danger la sécurité d'autrui ou en prend le risque.</w:t>
      </w:r>
    </w:p>
    <w:p>
      <w:r>
        <w:rPr>
          <w:b/>
        </w:rPr>
        <w:t>E. 6</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s. et les arrêts cités).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Les excès de vitesse inférieurs aux valeurs susmentionnées et qui ne peuvent pas être sanctionnés par une simple amende d'ordre doivent faire l'objet au minimum d'un avertissement en raison de la mise en danger abstraite accrue à laquelle ils exposent les autres usagers de la route (cf. arrêts du Tribunal fédéral 1C_83/2008 du 16 octobre 2008 consid. 2.1 ; 6A.52/2005 du 2 décembre 2005 consid. 2.2.3 ; ATA/70/2012 du 31 janvier 2012 consid. 5b). Hors des localités ou sur une semi- autoroute, un dépassement de la vitesse autorisée jusqu'à 20 km/h, après déduction de la marge d’erreur, demeure sanctionné par une amende d'ordre ; au-delà, la LAO n'est pas applicable (cf. ch. 303.2 let. d de l'annexe 1 de l'ordonnance sur les amendes d’ordre du 16 janvier 2019 - OAO - RS 314.11 - cum art. 1 al. 2 et 15 LAO).</w:t>
      </w:r>
    </w:p>
    <w:p>
      <w:r>
        <w:rPr>
          <w:b/>
        </w:rPr>
        <w:t>E. 7</w:t>
      </w:r>
    </w:p>
    <w:p>
      <w:r>
        <w:t>Après une 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w:t>
      </w:r>
    </w:p>
    <w:p>
      <w:r>
        <w:rPr>
          <w:b/>
        </w:rPr>
        <w:t>E. 8</w:t>
      </w:r>
    </w:p>
    <w:p>
      <w:r>
        <w:t>Selon la jurisprudence, les conditions auxquelles un cas d'infraction particulièrement légère peut être admis découlent de la définition de l'infraction légère au sens de l'art. 16a al.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(arrêts</w:t>
      </w:r>
    </w:p>
    <w:p>
      <w:r>
        <w:t>- 5/7 - A/1539/2021 du Tribunal fédéral 1C_577/2018 du 9 avril 2019 consid. 3.1 ; 1C_260/2012 du</w:t>
      </w:r>
    </w:p>
    <w:p>
      <w:r>
        <w:rPr>
          <w:b/>
        </w:rPr>
        <w:t>E. 12</w:t>
      </w:r>
    </w:p>
    <w:p>
      <w:r>
        <w:t>Vu l'issue du litige, un émolument de CHF 500.- sera mis à la charge du recourant, qui succombe, en application de l'art. 87 al. 1 LPA et du règlement sur les frais, émoluments et indemnités en procédure administrative du 30 juillet 1986 (RFPA - E 5 10.03). Ce dernier n'a pas droit à une indemnité de procédure (art. 87 al. 2 LPA a contrario).</w:t>
      </w:r>
    </w:p>
    <w:p>
      <w:r>
        <w:t>- 7/7 - A/1539/2021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