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JTAPI/1174/2024 vom 28. November 2024</w:t>
      </w:r>
    </w:p>
    <w:p>
      <w:r>
        <w:t>GE Cour de justice, 2024-11-28, FR</w:t>
      </w:r>
    </w:p>
    <w:p>
      <w:r>
        <w:rPr>
          <w:b/>
        </w:rPr>
        <w:t xml:space="preserve">Quelle: </w:t>
      </w:r>
      <w:r>
        <w:t>https://mcp.opencaselaw.ch/entscheid/ge_gerichte_JTAPI_1174_2024</w:t>
      </w:r>
    </w:p>
    <w:p>
      <w:r>
        <w:t>FR: GE_GERICHTE JTAPI/1174/2024 du 28 novembre 2024</w:t>
      </w:r>
    </w:p>
    <w:p>
      <w:r>
        <w:t>IT: GE_GERICHTE JTAPI/1174/2024 del 28 novembre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 05 ; art. 143 et 145 al. 1 LCI).</w:t>
      </w:r>
    </w:p>
    <w:p>
      <w:r>
        <w:rPr>
          <w:b/>
        </w:rPr>
        <w:t>E. 2</w:t>
      </w:r>
    </w:p>
    <w:p>
      <w:r>
        <w:t>À teneur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3</w:t>
      </w:r>
    </w:p>
    <w:p>
      <w:r>
        <w:t>En l’occurrence, les recours interjetés dans les causes nos A/1580/2024, A/1581/2024, A/1582/2024 et A/1584/2024 reposent sur un complexe de faits semblables et liés, concernant plus ou moins les mêmes éléments sur la parcelle n° 1______, de sorte qu’ils soulèvent des questions connexes. Il se justifie dès lors, au vu des éléments rappelés ci-dessus et par souci d’économie de procédure, d’ordonner leur jonction sous le numéro de cause A/1580/2024.</w:t>
      </w:r>
    </w:p>
    <w:p>
      <w:r>
        <w:rPr>
          <w:b/>
        </w:rPr>
        <w:t>E. 4</w:t>
      </w:r>
    </w:p>
    <w:p>
      <w:r>
        <w:t>Interjetés en temps utile et dans les formes prescrites devant la juridiction compétente, les recours sont recevables au sens des art. 60 et 62 à 65 LPA.</w:t>
      </w:r>
    </w:p>
    <w:p>
      <w:r>
        <w:rPr>
          <w:b/>
        </w:rPr>
        <w:t>E. 5</w:t>
      </w:r>
    </w:p>
    <w:p>
      <w:r>
        <w:t>décembre 2023 consid. 6.1.3 ; Thierry TANQUEREL, Manuel de droit administratif, 2018, n. 515 p. 179).</w:t>
      </w:r>
    </w:p>
    <w:p>
      <w:r>
        <w:rPr>
          <w:b/>
        </w:rPr>
        <w:t>E. 5.5</w:t>
      </w:r>
    </w:p>
    <w:p>
      <w:r>
        <w:t>; arrêt du Tribunal fédéral 1C_197/2021 du 12 novembre 2021 consid. 2.1.1 ; ATA/258/2024 du 27 février 2024 consid. 6.2). Cette séparation doit donc, en dehors des exceptions prévues par la loi, demeurer d’application stricte et l’ordre de démolir une construction ou un ouvrage édifié sans permis et pour lequel une autorisation ne pouvait être accordée n’est en principe pas contraire au principe de la proportionnalité.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du Tribunal fédéral 1C_76/2019 du 28 février 2020 consid. 7.1), alors que celui qui place l’autorité devant un fait accompli doit au contraire s’attendre à ce que celle-ci se préoccupe plus de rétablir une situation conforme au droit que d’éviter les inconvénients qui en découlent pour lui (ATF 123 II 248 consid. 4a ; arrêts du Tribunal fédéral 1C_60/2021 du 27 juillet 2021 consid. 3.1).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À cet égard, l’absence de vocation agricole et la proximité d’habitations ne sont pas déterminantes (cf. arrêt du Tribunal fédéral 1C_164/2007 du 13 septembre 2007 consid. 4.3 ; ATA/290/ 2016 du 5 avril 2016 consid. 7a ; ATA/1190/2015 du 3 novembre 2015 consid. 4b).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(arrêts du Tribunal fédéral 1C_60/2021 du 27 juillet 2021 consid. 3.2.1 ; 1C_469/2019 consid. 5.5 et 5.6).</w:t>
      </w:r>
    </w:p>
    <w:p>
      <w:r>
        <w:rPr>
          <w:b/>
        </w:rPr>
        <w:t>E. 6</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7</w:t>
      </w:r>
    </w:p>
    <w:p>
      <w:r>
        <w:t>À titre préliminaire, des recourants requièrent leur audition.</w:t>
      </w:r>
    </w:p>
    <w:p>
      <w:r>
        <w:rPr>
          <w:b/>
        </w:rPr>
        <w:t>E. 8</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Toutefois, ce droit ne confère pas le droit d’être entendu oralement, ni celui d’obtenir l’audition de témoins (ATF 140 I 68 consid. 9.6.1 ; arrêt du Tribunal fédéral 8C_381/2021 du 17 décembre 2021 consid. 3.2 ; cf. aussi art. 41 in fine LPA).</w:t>
      </w:r>
    </w:p>
    <w:p>
      <w:r>
        <w:rPr>
          <w:b/>
        </w:rPr>
        <w:t>E. 9</w:t>
      </w:r>
    </w:p>
    <w:p>
      <w:r>
        <w:t>En l’espèce, le tribunal relève que les recourants sollicitant leur audition ont eu l’occasion de s’exprimer par écrit, d’exposer leur point de vue et de produire toutes les pièces qu’ils estimaient utiles à l’appui de leurs allégués par le biais des écritures usuelles. Le dossier comporte en outre tous les éléments pertinents et nécessaires à l’examen des griefs et arguments mis en avant par les parties, permettant ainsi au tribunal de se forger une opinion et de trancher le litige. En conséquence, la mesure d’instruction requise, en soi non obligatoire et qui ne s’avère pas nécessaire pour trancher le litige, sera rejetée.</w:t>
      </w:r>
    </w:p>
    <w:p>
      <w:r>
        <w:rPr>
          <w:b/>
        </w:rPr>
        <w:t>E. 10</w:t>
      </w:r>
    </w:p>
    <w:p>
      <w:r>
        <w:t>Sur le fond, les recourants contestent les décisions du département du ______ 2024.</w:t>
      </w:r>
    </w:p>
    <w:p>
      <w:r>
        <w:rPr>
          <w:b/>
        </w:rPr>
        <w:t>E. 11</w:t>
      </w:r>
    </w:p>
    <w:p>
      <w:r>
        <w:t>Aucune construction ou installation ne peut être créée ou transformée sans autorisation de l’autorité compétente (art. 22 al. 1 de la loi fédérale sur l’aménagement du territoire du 22 juin 1979 - LAT - RS 700). L’autorisation est délivrée si la construction ou l’installation est conforme à l’affectation de la zone</w:t>
      </w:r>
    </w:p>
    <w:p>
      <w:r>
        <w:t>- 16/25 - A/1580/2024 (art. 22 al. 2 let. a LAT) et si le terrain est équipé (art. 22 al. 2 let. b LAT). Le droit fédéral et le droit cantonal peuvent poser d’autres conditions (art. 22 al. 3 LAT). Sont conformes à l’affectation de la zone agricole les constructions et installations qui sont nécessaires à l’exploitation agricole ou à l’horticulture productrice (art. 16a al. 1 1ère phr. LAT).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ATF 123 II 256 consid. 3). L’exigence de la relation fixe avec le sol n’exclut pas la prise en compte de constructions mobilières, non ancrées de manière durable au sol et qui sont, cas échéant, facilement démontables (ATA/208/2021 du 23 février 2021 consid. 5). Par ailleurs, au sens de l’art. 22 al. 1 LAT, il y a transformation lorsque, même sans modifier l’aspect extérieur, on procède à un changement d’affectation d’une construction ou d’une installation, soit la modification du but de son utilisation. En l’absence de travaux, un changement d’affectation peut être dispensé d’autorisation uniquement si la nouvelle affectation correspond à celle de la zone en question ou si son effet sur l’environnement et la planification est manifestement mineur (ATF 113 Ib 219 consid. 4d ; arrêts du Tribunal fédéral 1C_107/2016 du 28 juillet 2016 consid. 6.1 ; 1C_150/2016 du 20 septembre 2016 consid. 9.1 et les références ; 1C_395/2015 du 7 décembre 2015 consid. 3.1.1 ; cf. également ATF 139 II 134 consid. 5.2 ; ATA/1346/2015 du 15 décembre 2015 consid. 6b et les références). Les simples travaux d’entretien, rénovations, petites réparations ou changements d’affectation de moindre importance ne sont pas non plus soumis à autorisation (arrêts du Tribunal fédéral 1C_150/2016 du 20 septembre 2016 consid. 9.1 et la référence). En revanche, si les effets engendrés par la nouvelle utilisation se révèlent plus importants que précédemment, une autorisation de construire est requise ; il en va en particulier ainsi en cas d’augmentation significative des immissions (arrêts du Tribunal fédéral 1C_107/2016 du 28 juillet 2016 consid. 6.1 ; 1C_395/2015 du 7 décembre 2015 consid. 3.1.1 ; 1C_347/2014 du 16 janvier 2015 consid. 3.2). La qualité d’installation au sens de l’art. 22 al. 1 LAT a par exemple été reconnue à des bureaux aménagés dans un hangar, le parking visiteur, les véhicules de chantier, les installations de stockage de matériaux de chantier et les matériaux eux- mêmes (ATA/519/2022 du 17 mai 2022), un paddock, son chemin d’accès et sa barrière, un marcheur à chevaux, de même qu’un abri en bois pour ces derniers (ATA/161/2021 du 9 février 2021), à une piscine hors-sol (ATA/610/2017 du 30 mai 2017 consid. 6c), à un entreposage de voitures (ATA/1128/2020 du 23 janvier 2021 consid. 9 ; ATA/690/1999 du 23 novembre 1999 consid. 7 ; ATA D. du 7 septembre 1999) ou de matériel d’une entreprise de maçonnerie (ATA T. du 27 avril 1999). Un entreposage massif de voitures en zone villas a été</w:t>
      </w:r>
    </w:p>
    <w:p>
      <w:r>
        <w:t>- 17/25 - A/1580/2024 considéré comme sujet à autorisation et contraire à la destination de la zone et la remise en état confirmée (ATA/208/2021 du 23 février 2021 consid. 11). La jurisprudence a par ailleurs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 quatre panneaux solaires de 4 m2 à flanc de montagne (ZBI 1988 p. 333) ;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et des installations d’éclairage d’une montagne (ATF 123 II 256) sont soumis à autorisation.</w:t>
      </w:r>
    </w:p>
    <w:p>
      <w:r>
        <w:rPr>
          <w:b/>
        </w:rPr>
        <w:t>E. 12</w:t>
      </w:r>
    </w:p>
    <w:p>
      <w:r>
        <w:t>Selon l’art. 20 al. 1 de la loi d’application de la loi fédérale sur l’aménagement du territoire du 4 juin 1987 (LaLAT - L 1 30), la zone agricole est destinée à l’exploitation agricole ou horticole. Ne sont autorisées en zone agricole que les constructions et installations qui : a) sont destinées durablement à cette activité et aux personnes l’exerçant à titre principal ; b) respectent la nature et le paysage ; c) respectent les conditions fixées par les art. 34 et suivants de l’ordonnance fédérale.</w:t>
      </w:r>
    </w:p>
    <w:p>
      <w:r>
        <w:rPr>
          <w:b/>
        </w:rPr>
        <w:t>E. 13</w:t>
      </w:r>
    </w:p>
    <w:p>
      <w:r>
        <w:t>À teneur de l’art. 1 al. 1 let. a LCI, nul ne peut élever sur le territoire cantonal une construction ou une installation sans y avoir été autorisé. Les clôtures et portails figurent expressément dans la liste, exemplative, citée par la loi. Selon l’art. 1 du règlement d’application de la loi sur les constructions et les installations diverses du 27 février 1978 (RCI – L 5 05.01), sont des constructions ou des installations toutes choses immobilières ou mobilières édifiées au-dessus ou au-dessous du sol. Les « dépôts de tous genres » en font notamment partie (let. c). Les constructions mobilières peuvent également nécessiter une autorisation de construire, notamment lorsqu’elles sont installées pour un temps non négligeable en un lieu fixe (AEMISEGGER Heinz/MOOR Pierre/RUCH Alexander/TSCHANNEN Pierre, Commentaire pratique LAT : autorisation de construire, protection juridique et procédure, Schulthess, 2020, ad art. 22 LAT n. 32). Notamment, la chambre administrative (ATA/1304/2020 du 15 décembre 2020 consid. 10b) a confirmé l’ordre d’évacuation de deux containers posés sur un socle en béton car ils n’avaient pas été autorisés, considérant implicitement qu’il s’agissait de constructions soumises à autorisation.</w:t>
      </w:r>
    </w:p>
    <w:p>
      <w:r>
        <w:rPr>
          <w:b/>
        </w:rPr>
        <w:t>E. 14</w:t>
      </w:r>
    </w:p>
    <w:p>
      <w:r>
        <w:t>En l’espèce, force est de constater que les éléments dont le département exige la suppression constituent des constructions soumises à autorisation. En effet, ils sont en place depuis des années et peuvent donc être considérés comme des installations durables. Bien que leur déplacement soit possible et qu’ils ne comportent, pour certains d’eux, pas de fondation ou d’autre point d’ancrage, leurs dimensions les</w:t>
      </w:r>
    </w:p>
    <w:p>
      <w:r>
        <w:t>- 18/25 - A/1580/2024 rendent néanmoins fixes. Ils ont en outre indubitablement été créés par la main de l’homme et leur présence a une incidence sur l’affectation du sol, qui ne devrait accueillir que des objets en lien avec l’exploitation agricole ou horticole, ce qui n’est à l’évidence pas le cas. À cet égard, il sied de souligner, d’une part, que la parcelle n° 1______ n’est pas affectée à la zone à bâtir et qu’elle demeure ainsi une parcelle agricole respective de bois et forêts soumise aux règles régissant de telles zones. Elle n’a en outre pas été désassujettie à la LDFR, ce qui n’aurait d’ailleurs pas été déterminant puisque cela n’aurait pas modifié le fait qu’elle demeure affectée à la zone agricole respectivement de bois et forêts et ainsi aux prescriptions applicables à ces zones (cf. ATA/583/2022 du 31 mai 2022 consid. 5f). Enfin, le fait qu’il aurait constaté à réitérées reprises dans le passé que ladite parcelle avait perdu sa vocation agricole ne modifie pas non plus sa situation juridique, le classement d’une parcelle en telle ou telle zone relevant, sauf exception non réalisée in casu, d’une loi et non d’une simple décision administrative (cf. art. 15 à</w:t>
      </w:r>
    </w:p>
    <w:p>
      <w:r>
        <w:rPr>
          <w:b/>
        </w:rPr>
        <w:t>E. 16</w:t>
      </w:r>
    </w:p>
    <w:p>
      <w:r>
        <w:t>Il reste à examiner si c’est à bon droit que le département a ordonné la suppression des objets en cause et la remise en état du terrain naturel.</w:t>
      </w:r>
    </w:p>
    <w:p>
      <w:r>
        <w:rPr>
          <w:b/>
        </w:rPr>
        <w:t>E. 17</w:t>
      </w:r>
    </w:p>
    <w:p>
      <w:r>
        <w:t>Conformément à l’art. 129 let. e LCI, le département peut notamment ordonner, à l’égard des constructions, des installations ou d’autres choses, la remise en état, la réparation, la modification, la suppression ou la démolition. Ces mesures peuvent être prises lorsque l’état d’une construction, d’une installation ou d’une autre chose n’est pas conforme aux prescriptions de la loi, des règlements qu’elle prévoit ou des autorisations délivrées en application de ces dispositions légales ou réglementaires (art. 130 LCI). Les propriétaires ou leurs mandataires, les entrepreneurs et les usagers sont tenus de se conformer aux mesures ordonnées par le département en application de ces deux dispositions (art. 131 LCI).</w:t>
      </w:r>
    </w:p>
    <w:p>
      <w:r>
        <w:rPr>
          <w:b/>
        </w:rPr>
        <w:t>E. 18</w:t>
      </w:r>
    </w:p>
    <w:p>
      <w:r>
        <w:t>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(ATA/701/2023 du 27juin 2023 consid. 3.3 ; ATA/1134/2022 du 8 novembre 2022 consid. 11b). Lorsque des constructions ou des installations illicites sont réalisées en dehors de la zone à bâtir, le droit fédéral exige en principe que soit rétabli un état conforme au droit, et donc qu’elles soient démolies si elles ne peuvent pas être légalisées a posteriori. Le principe de la séparation de l’espace bâti et non bâti, qui préserve différents intérêts publics, est de rang constitutionnel ; il fait partie intégrante de la notion d’utilisation mesurée du sol de l’art. 75 al. 1 Cst. (ATF 147 II 309 consid.</w:t>
      </w:r>
    </w:p>
    <w:p>
      <w:r>
        <w:t>- 20/25 - A/1580/2024</w:t>
      </w:r>
    </w:p>
    <w:p>
      <w:r>
        <w:rPr>
          <w:b/>
        </w:rPr>
        <w:t>E. 19</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(ATA/355/2024 du 12 mars 2024 consid. 3.5). Elle peut renoncer à un ordre de démolition, conformément au principe de la proportionnalité,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1C_544/2014 du 1er avril 2015 consid. 4.2]), si celui-ci pouvait de bonne foi se croire autorisé à construire ou encore s’il y a des chances sérieuses de faire reconnaître la construction comme conforme au droit (cf. ATF 132 II 21 consid. 6 ; ATF 123 II 248 consid. 3a/bb ; arrêt du Tribunal fédéral 1C_60/2021 du 27 juillet 2021 consid. 3.1 ; ATA/258/2024 du 27 février 2024 consid. 6.3).</w:t>
      </w:r>
    </w:p>
    <w:p>
      <w:r>
        <w:t>- 21/25 - A/1580/2024</w:t>
      </w:r>
    </w:p>
    <w:p>
      <w:r>
        <w:rPr>
          <w:b/>
        </w:rPr>
        <w:t>E. 20</w:t>
      </w:r>
    </w:p>
    <w:p>
      <w:r>
        <w:t>De manière générale dans l’examen de la proportionnalité, les intérêts des propriétaires sont, à juste titre, mis en retrait par rapport à l’importance de préserver la zone agricole d’installations qui n’y ont pas leur place. Concernant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 Sous l’angle de la proportionnalité, on peut prendre en compte le fait que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Dans un arrêt plus récent, il a retenu qu’une clôture destinée à protéger les lieux des animaux sauvages ou d’intrus n’était pas conforme à la zone agricole, de sorte qu’elle devait être évacuée. La proportionnalité d’une telle mesure a en outre été confirmée (arrêt du Tribunal fédéral 1C 535/2021 du 14 avril 2023 consid. 2.4 et 3.2).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autre arrêt, elle a également confirmé un ordre de démolition, en zone à</w:t>
      </w:r>
    </w:p>
    <w:p>
      <w:r>
        <w:t>- 22/25 - A/1580/2024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du 6 mars 2018 consid. 12).</w:t>
      </w:r>
    </w:p>
    <w:p>
      <w:r>
        <w:rPr>
          <w:b/>
        </w:rPr>
        <w:t>E. 21</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 De jurisprudence constante, les mesures nécessaires à éliminer une situation contraire au droit doivent être dirigées contre le perturbateur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L’autorité peut adresser l’ordre de rétablir un état conforme au droit aux perturbateurs par comportement et par situation, jouissant d’une certaine marge d’appréciation dans le choix de la personne à laquelle incombera l’obligation d’éliminer la perturbation (ATF 107 Ia 19 consid. 2b ; arrêt du Tribunal fédéral 1C_650/2018 du 22 mai 2019 consid. 4.1.3).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davantage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consid. 2b et les références citées ; ATA/1299/2020 précité consid. 7e ; Thierry TANQUEREL, op. cit., 2018, n. 563).</w:t>
      </w:r>
    </w:p>
    <w:p>
      <w:r>
        <w:rPr>
          <w:b/>
        </w:rPr>
        <w:t>E. 22</w:t>
      </w:r>
    </w:p>
    <w:p>
      <w:r>
        <w:t>Découlant directement de l’art. 9 Cst. et valant pour l’ensemble de l’activité étatique, le principe de la bonne foi protège le citoyen dans la confiance légitime</w:t>
      </w:r>
    </w:p>
    <w:p>
      <w:r>
        <w:t>- 23/25 - A/1580/2024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arrêts du Tribunal fédéral 1C_53/2022 du 15 mai 2023 consid. 4.1.3 ; 1C_418/2021 du 10 mars 2022 consid. 3.1). Ne peut se prévaloir du principe de la bonne foi que celui qui a lui- même agi conformément à ce principe (ATF 136 II 359 consid. 7 ; Rudolf MUGGLI, in Heinz AEMISEGGER/Pierre MOOR/Alexander RUCH/Pierre TSCHANNEN, Commentaire pratique LAT : Construire hors zone à bâtir, 2017, n. 36 ad Remarques préliminaires art. 24 à 24e et 37a LAT).</w:t>
      </w:r>
    </w:p>
    <w:p>
      <w:r>
        <w:rPr>
          <w:b/>
        </w:rPr>
        <w:t>E. 23</w:t>
      </w:r>
    </w:p>
    <w:p>
      <w:r>
        <w:t>En l’espèce, les recourants étant perturbateurs par situation ou par comportement, c’est à juste titre que le département leur a adressé les décisions querellées. En outre, les objets en cause, comme relevé ci-dessus, n’ont pas été autorisés et la question de la prescription trentenaire ne se pose pas en l’espèce, ne s’appliquant pas hors de la zone à bâtir. Il n’apparaît pour le surplus pas que l’autorité aurait suscité d’une quelconque façon des expectatives qu’il se justifierait de protéger sous l’angle de la bonne foi. Ainsi que déjà relevé, il ne peut être retenu ni des anciennes autorisations de construire délivrées ni du courrier du SSS du 24 mai 1985 que l’aménagement d’une cour entourant au nord, est et ouest le hangar n° 2______ avait été autorisé. Aucune pièce du dossier ne permet par ailleurs de retenir que des assurances ont été données par le département au sujet d’un maintien des objets litigieux. À ce sujet, il sied de noter que les indications obtenues par D______ dans le cadre d’une relation contractuelle de droit privé n’engage nullement le département. Enfin, les recourants ne sauraient être suivis lorsqu’ils prétendent que les décisions contestées seraient disproportionnées en raison du fait que leur mise en œuvre mettrait fin à leur activité. En effet, les intérêts publics - de rang constitutionnel - au respect du principe de la séparation du bâti et du non-bâti, de la limitation du nombre et des dimensions des constructions en zone agricole ainsi que le respect du principe de l’égalité devant la loi priment l’intérêt privé des recourants concernés à conserver les objets litigieux, même si ceux-ci sont importants voire essentiels pour le fonctionnement de leur activité. Un intérêt purement économique ne saurait avoir le pas sur l’intérêt public au rétablissement d’une situation conforme au droit. Au surplus, la parcelle en cause se situant en zone agricole, seules les dispositions relatives à cette zone s’appliquent et ce quand bien même la</w:t>
      </w:r>
    </w:p>
    <w:p>
      <w:r>
        <w:t>- 24/25 - A/1580/2024 parcelle n’est plus utilisée à des fins agricoles depuis de très nombreuses années. Le but des décisions entreprises est d’ailleurs de rendre la parcelle en cause à sa vocation agricole. Enfin, s’agissant du bateau B______, il ressort du planning des travaux de sa restauration que cette embarcation et les installations y relatives devraient demeurer sur la parcelle au moins pendant encore près de trois ans. Cette durée est trop importante pour admettre que les intérêts publics susmentionnés puissent être mis en parenthèse, dans le cadre d’une pesée des intérêts à la lumière du principe de la proportionnalité, durant un tel laps de temps. Au surplus, il faut noter que l’association n’a pas démontré qu’aucun autre emplacement ne serait disponible pour y entreposer le bateau.</w:t>
      </w:r>
    </w:p>
    <w:p>
      <w:r>
        <w:rPr>
          <w:b/>
        </w:rPr>
        <w:t>E. 24</w:t>
      </w:r>
    </w:p>
    <w:p>
      <w:r>
        <w:t>Au vu de ce qui précède, les recours, mal fondés, seront rejetés.</w:t>
      </w:r>
    </w:p>
    <w:p>
      <w:r>
        <w:rPr>
          <w:b/>
        </w:rPr>
        <w:t>E. 25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2’000.- ; il est couvert par les avances de frais, en CHF 2’800, versées à la suite du dépôt des recours. Le solde des avances de frais sera restitué aux recourants, à hauteur de CHF 200.- chacun. Vu l’issue du litige, aucune indemnité de procédure ne sera allouée (art. 87 al. 2 LPA).</w:t>
      </w:r>
    </w:p>
    <w:p>
      <w:r>
        <w:t>- 25/25 - A/1580/2024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