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JTAPI/116/2025 vom 22. Januar 2025</w:t>
      </w:r>
    </w:p>
    <w:p>
      <w:r>
        <w:t>GE Cour de justice, 2025-01-22, FR</w:t>
      </w:r>
    </w:p>
    <w:p>
      <w:r>
        <w:rPr>
          <w:b/>
        </w:rPr>
        <w:t xml:space="preserve">Quelle: </w:t>
      </w:r>
      <w:r>
        <w:t>https://mcp.opencaselaw.ch/entscheid/ge_gerichte_JTAPI_116_2025</w:t>
      </w:r>
    </w:p>
    <w:p>
      <w:r>
        <w:t>FR: GE_GERICHTE JTAPI/116/2025 du 22 janvier 2025</w:t>
      </w:r>
    </w:p>
    <w:p>
      <w:r>
        <w:t>IT: GE_GERICHTE JTAPI/116/2025 del 22 gennaio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w:t>
      </w:r>
    </w:p>
    <w:p>
      <w:r>
        <w:t>- 7/9 - A/270/2025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violences subies par A______ de la part de B______ ne font aucun doute. Les explications nuancées fournies par A______ sur les violences verbales, psychologiques et physiques qu'elle a subies depuis environ 15 ans (où elle montre qu'elle fait la part des choses entre les périodes où cette violence s'est exercée de manière uniquement verbale et les périodes où elle s'est exprimée par de brutalités physiques, ainsi qu'entre les violences qu'elle a subies elle-même et le fait que B______ ne s'est jamais montré violent envers ses enfants), contrastent de manière particulièrement frappante avec la façon dont B______ a posément rejeté ces accusations, s'attachant essentiellement à des éléments périphériques qui touchent en particulier aux finances du couple, sans montrer ni abattement, ni révolte face à des accusations extrêmement graves provenant de sa propre conjointe. À cet égard, B______ semble très éloigné de toute prise de conscience du caractère grave et inacceptable de son comportement, comme le montre d'ailleurs de fait qui soit capable de prétendre que les larges traces de rougeurs présentes sur le cou de A______, selon la photographie prise par la police le 22 janvier 2025, résulteraient d'une auto agression, et non pas du fait qu'il lui a lui-même serré la gorge. À ces éléments s'ajoutent évidemment les violences déjà retenues par le tribunal de céans dans le cadre de son jugement JTAPI/433 2021 du 4 mai 2021.</w:t>
      </w:r>
    </w:p>
    <w:p>
      <w:r>
        <w:rPr>
          <w:b/>
        </w:rPr>
        <w:t>E. 5</w:t>
      </w:r>
    </w:p>
    <w:p>
      <w:r>
        <w:t>Compte tenu de l'attitude de B______, qui évoque non seulement une absence complète de prise de conscience de sa responsabilité et de la gravité de ses actes, mais même un certain détachement ou un certain cynisme, il est évident que son retour au domicile familial représente un risque de réitération de violences à l'encontre de A______. Dans cette mesure, le tribunal admettra la demande de prolongation de la mesure d'éloignement sollicitée par A______. Toutefois, dès lors que cette dernière a elle-même indiqué que B______ ne s'était jamais montré violent envers les enfants, la prolongation de la mesure d'éloignement ne concernera plus ces derniers.</w:t>
      </w:r>
    </w:p>
    <w:p>
      <w:r>
        <w:rPr>
          <w:b/>
        </w:rPr>
        <w:t>E. 6</w:t>
      </w:r>
    </w:p>
    <w:p>
      <w:r>
        <w:t>Comme déjà indiqué lors de l'audience à B______, le présent jugement n'a pas vocation à régler les relations personnelles entre lui-même et ses enfants, question qui sera cas échéant traitée par les autorités compétentes en la matière, soit d'office soit sur sollicitation de l'un des parents, à savoir le service de protection des mineurs</w:t>
      </w:r>
    </w:p>
    <w:p>
      <w:r>
        <w:t>- 8/9 - A/270/2025 (SPMi), voire le Tribunal de protection de l'adulte et de l'enfant (TPAE) ou encore le Tribunal de première instance (TPI).</w:t>
      </w:r>
    </w:p>
    <w:p>
      <w:r>
        <w:rPr>
          <w:b/>
        </w:rPr>
        <w:t>E. 7</w:t>
      </w:r>
    </w:p>
    <w:p>
      <w:r>
        <w:t>Par conséquent, sous réserve du fait qu'elle ne concernera plus les enfants du couple à partir du 3 février 2025 à 17 heures, la demande de prolongation sera admise et la mesure d'éloignement prolongée pour une durée de 30 jours, soit jusqu'au 5 mars 2025 à 17 heures. Il sera encore souligné qu'à cette échéance, A______ a la possibilité, conformément à l'art. 11 al. 2 LVD, de demander à nouveau la prolongation de la mesure d'éloignement.</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A/270/2025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