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JTAPI/1169/2021 vom 22. November 2021</w:t>
      </w:r>
    </w:p>
    <w:p>
      <w:r>
        <w:t>GE Cour de justice, 2021-11-22, FR</w:t>
      </w:r>
    </w:p>
    <w:p>
      <w:r>
        <w:rPr>
          <w:b/>
        </w:rPr>
        <w:t xml:space="preserve">Quelle: </w:t>
      </w:r>
      <w:r>
        <w:t>https://mcp.opencaselaw.ch/entscheid/ge_gerichte_JTAPI_1169_2021</w:t>
      </w:r>
    </w:p>
    <w:p>
      <w:r>
        <w:t>FR: GE_GERICHTE JTAPI/1169/2021 du 22 novembre 2021</w:t>
      </w:r>
    </w:p>
    <w:p>
      <w:r>
        <w:t>IT: GE_GERICHTE JTAPI/1169/2021 del 22 novembre 2021</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La recourante sollicite la tenue d'une audience de comparution personnelle pour exposer les circonstances particulières. 4.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(ATF 140 I 60 consid. 3.3 ; arrêt du Tribunal fédéral 2C_235/2015 du 29 juillet 2015 consid. 5) ou si le fait à établir résulte déjà des constatations ressortant du dossier (ATF 136 I 229 consid. 5.2 ; ATA/1296/2015 du 8 décembre 2015). Il ne comprend pas le droit d'être entendu oralement ni celui d'obtenir l'audition de témoins (ATF 130 II 425 consid. 2.1 ; ATA/311/2015 du 31 mars 2015).</w:t>
      </w:r>
    </w:p>
    <w:p>
      <w:r>
        <w:rPr>
          <w:b/>
        </w:rPr>
        <w:t>E. 5</w:t>
      </w:r>
    </w:p>
    <w:p>
      <w:r>
        <w:t>En l'espèce, le dossier en possession du tribunal, soit en particulier le rapport de police du 27 juin 2021, les observations de la recourante à l'OCV et ses explications développées dans son recours, contiennent les éléments suffisants pour trancher le litige, de sorte qu'il n'y a pas lieu de donner suite à la requête de la recourante. Cet acte d'instruction, non obligatoire, ne se révèle pas nécessaire.</w:t>
      </w:r>
    </w:p>
    <w:p>
      <w:r>
        <w:rPr>
          <w:b/>
        </w:rPr>
        <w:t>E. 6</w:t>
      </w:r>
    </w:p>
    <w:p>
      <w:r>
        <w:t>Selon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w:t>
      </w:r>
    </w:p>
    <w:p>
      <w:r>
        <w:t>- 5/7 - A/2598/2021 bonne foi et le principe de la proportionnalité (ATF 140 I 257 consid. 6.3.1 ; 137 V 71 consid. 5.1 ; 123 V 150 consid. 2).</w:t>
      </w:r>
    </w:p>
    <w:p>
      <w:r>
        <w:rPr>
          <w:b/>
        </w:rPr>
        <w:t>E. 7</w:t>
      </w:r>
    </w:p>
    <w:p>
      <w:r>
        <w:t>En l'espèce, la recourante ne conteste pas l'infraction qui lui est reprochée mais sollicite une diminution de la mesure prononcée.</w:t>
      </w:r>
    </w:p>
    <w:p>
      <w:r>
        <w:rPr>
          <w:b/>
        </w:rPr>
        <w:t>E. 8</w:t>
      </w:r>
    </w:p>
    <w:p>
      <w:r>
        <w:t>Selon l'art. 16c al. 1 let. b LCR, commet une infraction grave la personne qui conduit un véhicule automobile en état d'ébriété et présente un taux d'alcool qualifié.</w:t>
      </w:r>
    </w:p>
    <w:p>
      <w:r>
        <w:rPr>
          <w:b/>
        </w:rPr>
        <w:t>E. 9</w:t>
      </w:r>
    </w:p>
    <w:p>
      <w:r>
        <w:t>Selon l'art. 2 de l'ordonnance de l'Assemblée fédérale concernant les taux limites d'alcool admis en matière de circulation routière du 15 juin 2012 (RS 741.13 - ci- après : l'ordonnance), est considéré comme qualifié un taux d'alcool dans le sang de 0.8 gramme pour mille ou plus (let. a), ou un taux d'alcool dans l'haleine de 0.4 mg ou plus par litre d'air expiré (let. b).</w:t>
      </w:r>
    </w:p>
    <w:p>
      <w:r>
        <w:rPr>
          <w:b/>
        </w:rPr>
        <w:t>E. 10</w:t>
      </w:r>
    </w:p>
    <w:p>
      <w:r>
        <w:t>Après une infraction grave,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 il est renoncé à cette mesure si, dans les cinq ans suivant l’expiration d’un retrait, aucune infraction donnant lieu à une mesure administrative n’a été commise (art. 16c al. 2 let. d LCR).</w:t>
      </w:r>
    </w:p>
    <w:p>
      <w:r>
        <w:rPr>
          <w:b/>
        </w:rPr>
        <w:t>E. 11</w:t>
      </w:r>
    </w:p>
    <w:p>
      <w:r>
        <w:t>Cette disposition, qui vise à exclure de la circulation routière le conducteur multirécidiviste considéré comme un danger public, consacre - malgré son emplacement dans la liste des retraits d'admonestation - une mesure de retrait de sécurité pour inaptitude caractérielle irréfragablement présumée, prononcé avec un délai d'attente de deux ans au minimum et sans qu'une expertise d'aptitude soit mise en œuvre au préalable (ATF 139 II 95 consid. 3.4.2 s. ; arrêt du Tribunal fédéral 1C_32/2015 du 18 juin 2015 consid. 3.1.2 ; A. BUSSY/B. RUSCONI/Y. JEANNERET/A. KUHN/C. MIZEL/C. MÜLLER, Code suisse de la circulation routière commenté, 4ème éd., 2015, n. 7.1 ad art. 16b LCR et les références cum n. 9 ad art. 16c ; cf. aussi arrêts du Tribunal fédéral 1C_191/2016 du 5 juillet 2016 consid. 5). La présomption d'inaptitude caractérielle à la conduite découle de par la loi de la réitération d'infractions graves ou moyennement graves aux règles de la circulation routière durant un certain laps de temps et la personne concernée n'est pas autorisée à apporter la preuve contraire de son aptitude à conduire (ATF 139 II 95 consid. 3.4.2 ; arrêt du Tribunal fédéral 1C_535/2017 du 16 octobre 2017 consid. 3). En d'autres termes, le législateur a délibérément prévu un retrait obligatoire du permis de conduire pour une durée indéterminée, mais au minimum deux ans, lorsque les conditions de l'art. 16c al. 2 let. d 1ère phr. LCR sont réunies</w:t>
      </w:r>
    </w:p>
    <w:p>
      <w:r>
        <w:t>- 6/7 - A/2598/2021 (cf. ATF 139 II 95 consid. 3.2 ; arrêt du Tribunal fédéral 1C_535/2017 du</w:t>
      </w:r>
    </w:p>
    <w:p>
      <w:r>
        <w:rPr>
          <w:b/>
        </w:rPr>
        <w:t>E. 16</w:t>
      </w:r>
    </w:p>
    <w:p>
      <w:r>
        <w:t>octobre 2017 consid. 3). Ladite période de deux ans est incompressible et ne peut être ni réduite au motif que l'intéressé n'a pas mis en danger concrètement les autres usagers de la route, ni limitée à un certain type de catégories du permis de conduire, pour tenir compte de ses besoins professionnels, en vertu du texte clair de l'art. 16 al. 3 LCR et de la jurisprudence rendue en application de cette disposition (cf. arrêt du Tribunal fédéral 1C_414/2019 du 28 août 2019 consid. 2 in fine et l'arrêt cité). 12. Selon une jurisprudence constante en matière de circulation routière, les délais de récidive (ou délais d'épreuve) prévus par les art. 16a à c LCR commencent à courir à la fin de l'exécution d'un précédent retrait de permis (cf. arrêts du Tribunal fédéral 1C_548/2018 du 26 mars 2019 consid. 2.4 et les arrêts cités ; 1C_580/2017 du 1er octobre 2018 consid. 3.1 et les références citées). 13. En l'espèce, la recourante a conduit un véhicule automobile en présentant un taux d'alcoolémie de 0,55 mg/l ce qui constitue une infraction grave. Son permis de conduire lui ayant déjà été retiré notamment les 30 avril 2013 et 13 décembre 2016, en raison d'infractions graves, c'est à juste titre que l'OCV, qui n'entendait ne pas s'écarter du minimum légal prévu, a prononcé un retrait de permis pour une durée indéterminée, minimum deux ans en application de l'art. 16c al. 2 let. d LCR. Devant impérativement se tenir à une telle mesure, l'autorité administrative a donc correctement appliqué les règles en vigueur et n'a pas excédé ou abusé de son pouvoir d'appréciation, les besoins professionnels ne pouvant entrer en ligne de compte. 14. Mal fondé, le recours sera rejeté. 15. En application des art. 87 al. 1 LPA et 1 et 2 du règlement sur les frais, émoluments et indemnités en procédure administrative du 30 juillet 1986 (RFPA - E 5 10.03), la recourante est condamnée au paiement d’un émolument s'élevant à CHF 500.- ; il est couvert par l’avance de frais versée à la suite du dépôt du recours. Vu l’issue du litige, aucune indemnité de procédure ne sera allouée (art. 87 al. 2 LPA).</w:t>
      </w:r>
    </w:p>
    <w:p>
      <w:r>
        <w:t>- 7/7 - A/2598/2021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