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JTAPI/1164/2024 vom 30. April 2018</w:t>
      </w:r>
    </w:p>
    <w:p>
      <w:r>
        <w:t>GE Cour de justice, 2018-04-30, FR</w:t>
      </w:r>
    </w:p>
    <w:p>
      <w:r>
        <w:rPr>
          <w:b/>
        </w:rPr>
        <w:t xml:space="preserve">Quelle: </w:t>
      </w:r>
      <w:r>
        <w:t>https://mcp.opencaselaw.ch/entscheid/ge_gerichte_JTAPI_1164_2024</w:t>
      </w:r>
    </w:p>
    <w:p>
      <w:r>
        <w:t>FR: GE_GERICHTE JTAPI/1164/2024 du 30 avril 2018</w:t>
      </w:r>
    </w:p>
    <w:p>
      <w:r>
        <w:t>IT: GE_GERICHTE JTAPI/1164/2024 del 30 aprile 2018</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(ATA/386/2018 du 24 avril 2018 consid. 1b). 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Cameroun.</w:t>
      </w:r>
    </w:p>
    <w:p>
      <w:r>
        <w:rPr>
          <w:b/>
        </w:rPr>
        <w:t>E. 5</w:t>
      </w:r>
    </w:p>
    <w:p>
      <w:r>
        <w:t>Le recourant conclut à sa comparution personnelle.</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w:t>
      </w:r>
    </w:p>
    <w:p>
      <w:r>
        <w:t>- 5/8 - A/2393/2024 suite à ses offres de preuves pertinentes, de participer à l’administration des preuves essentielles ou à tout le moins de s’exprimer sur son résultat, lorsque cela est de nature à influer sur la décision à rendre (ATF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Par ailleurs, ce droit ne confère pas le droit d’être entendu oralement, ni celui d’obtenir l’audition de témoins (ATF 134 I 140 consid. 5.3).</w:t>
      </w:r>
    </w:p>
    <w:p>
      <w:r>
        <w:rPr>
          <w:b/>
        </w:rPr>
        <w:t>E. 7</w:t>
      </w:r>
    </w:p>
    <w:p>
      <w:r>
        <w:t>En l’espèce, le recourant a eu l’occasion de s’exprimer à plusieurs reprises par écrit durant la procédure et notamment devant le tribunal, dans un double échange d’écritures. Le dossier comporte de plus tous les éléments pertinents et nécessaires à l’examen des griefs et arguments mis en avant par les parties, permettant ainsi au tribunal de se forger une opinion et de trancher le litige, de sorte qu’il n’y a pas lieu de procéder à la comparution personnelle de l’intéressé, cet acte d’instruction, non obligatoire, ne se révélant pas nécessaire.</w:t>
      </w:r>
    </w:p>
    <w:p>
      <w:r>
        <w:rPr>
          <w:b/>
        </w:rPr>
        <w:t>E. 8</w:t>
      </w:r>
    </w:p>
    <w:p>
      <w:r>
        <w:t>Le recourant sollicite une autorisation de séjour de courte durée sous l’angle de l’art. 21 al. 3 LEI.</w:t>
      </w:r>
    </w:p>
    <w:p>
      <w:r>
        <w:rPr>
          <w:b/>
        </w:rPr>
        <w:t>E. 9</w:t>
      </w:r>
    </w:p>
    <w:p>
      <w:r>
        <w:t>Le Tribunal fédéral a jugé (arrêt 2C_303/2018 du 20 juin 2018 consid. 1.3 et 1.3.1), que selon l'art. 14 al. 1 de la loi sur l’asile du 26 juin 1998 (LAsi - RS 142.31, à moins qu'il n'y ait droit, un requérant d'asile débouté ne peut pas engager une procédure visant l'octroi d'une autorisation de séjour avant d'avoir quitté la Suisse (principe dit de l'exclusivité de la procédure d'asile). Une exception à ce principe n'est admise que si le droit à une autorisation de séjour requis par l'art. 14 al. 1 LAsi apparaît « manifeste ». Tel n'est en principe pas le cas si le requérant invoque uniquement le droit à la protection de sa vie privée au sens de l'art. 8 par. 1 de la Convention de sauvegarde des droits de l’homme et des libertés fondamentales du 4 novembre 1950 (CEDH - RS 0.101), car la reconnaissance d'un droit à une autorisation de séjour par ce biais revêt un caractère exceptionnel. En revanche, la jurisprudence admet que l'art. 8 par. 1 CEDH justifie de faire exception à l'art. 14 al. 1 LAsi lorsqu'il en va de la protection de la vie privée et familiale, notamment pour protéger les relations entre époux.</w:t>
      </w:r>
    </w:p>
    <w:p>
      <w:r>
        <w:rPr>
          <w:b/>
        </w:rPr>
        <w:t>E. 10</w:t>
      </w:r>
    </w:p>
    <w:p>
      <w:r>
        <w:t>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(ATA/362/2019 du 2 avril 2019). Les autorités compétentes bénéficient d'un large pouvoir d'appréciation (ATA/494/2017 du 2 mai 2017). En</w:t>
      </w:r>
    </w:p>
    <w:p>
      <w:r>
        <w:t>- 6/8 - A/2393/2024 raison de sa formulation potestative, l’art. 18 LEI ne confère aucun droit à l’autorisation sollicitée par un éventuel employé. De même, un employeur ne dispose d’aucun droit à engager un étranger en vue de l’exercice d’une activité lucrative en Suisse (arrêt du Tribunal fédéral 2D_57/2015 du 21 septembre 2015 consid. 3).</w:t>
      </w:r>
    </w:p>
    <w:p>
      <w:r>
        <w:rPr>
          <w:b/>
        </w:rPr>
        <w:t>E. 11</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L'admission de ressortissants d'États tiers n'est possible que si, à qualifications égales, aucun travailleur en Suisse ou ressortissant d'un État de l'UE ou de l'AELE ne peut être recruté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w:t>
      </w:r>
    </w:p>
    <w:p>
      <w:r>
        <w:t>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(ATA/1194/2021 du 9 novembre 2021 consid. 6b).</w:t>
      </w:r>
    </w:p>
    <w:p>
      <w:r>
        <w:rPr>
          <w:b/>
        </w:rPr>
        <w:t>E. 12</w:t>
      </w:r>
    </w:p>
    <w:p>
      <w:r>
        <w:t>En l’espèce, l’OCPM fait valoir que le recourant ne peut bénéficier d’un titre de séjour en application de l’art. 21 al. 3 LEI, en raison du principe l’exclusivité de la procédure d’asile. Le précité objecte que ce principe ne s’applique pas à sa situation, étant donné que sa demande d’asile a été définitivement rejetée par le TAF. Subsidiairement, il peut se prévaloir d’un droit à une autorisation. Le 30 avril 2018, le SEM a rejeté la demande d’asile déposée par le recourant. Cette requête a été définitivement écartée par le TAF, le 15 août 2018. Dès lors, en application du principe de l’exclusivité de la procédure d’asile, il devait déposer à l’étranger sa demande d’autorisation de séjour fondée sur la LEI. Le recourant ne peut se prévaloir d’une exception à ce principe étant donné qu’il ne dispose pas d’un droit manifeste à demeurer en Suisse. En effet, quoi qu’il en pense, les dispositions des art. 18 et ss LEI relatives à l’admission en vue de l’exercice d’une activité lucrative, dont l’art. 21 al. 3 LEI fait partie, ne lui confèrent aucun droit de séjourner sur le territoire helvétique.</w:t>
      </w:r>
    </w:p>
    <w:p>
      <w:r>
        <w:rPr>
          <w:b/>
        </w:rPr>
        <w:t>E. 13</w:t>
      </w:r>
    </w:p>
    <w:p>
      <w:r>
        <w:t>Partant, la décision de l’OCPM doit être confirmée et le recours rejeté.</w:t>
      </w:r>
    </w:p>
    <w:p>
      <w:r>
        <w:rPr>
          <w:b/>
        </w:rPr>
        <w:t>E. 14</w:t>
      </w:r>
    </w:p>
    <w:p>
      <w:r>
        <w:t>En application des art. 87 al. 1 LPA et 1 et 2 du règlement sur les frais, émoluments et indemnités en procédure administrative du 30 juillet 1986 (RFPA - E 5 10.03),</w:t>
      </w:r>
    </w:p>
    <w:p>
      <w:r>
        <w:t>- 7/8 - A/2393/2024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15</w:t>
      </w:r>
    </w:p>
    <w:p>
      <w:r>
        <w:t>En vertu des art. 89 al. 2 et 111 al. 2 de la loi sur le Tribunal fédéral du 17 juin 2005 (LTF - RS 173.110), le présent jugement sera communiqué au secrétariat d'État aux migrations.</w:t>
      </w:r>
    </w:p>
    <w:p>
      <w:r>
        <w:t>- 8/8 - A/2393/2024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