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JTAPI/1161/2021 vom 18. November 2021</w:t>
      </w:r>
    </w:p>
    <w:p>
      <w:r>
        <w:t>GE Cour de justice, 2021-11-18, FR</w:t>
      </w:r>
    </w:p>
    <w:p>
      <w:r>
        <w:rPr>
          <w:b/>
        </w:rPr>
        <w:t xml:space="preserve">Quelle: </w:t>
      </w:r>
      <w:r>
        <w:t>https://mcp.opencaselaw.ch/entscheid/ge_gerichte_JTAPI_1161_2021</w:t>
      </w:r>
    </w:p>
    <w:p>
      <w:r>
        <w:t>FR: GE_GERICHTE JTAPI/1161/2021 du 18 novembre 2021</w:t>
      </w:r>
    </w:p>
    <w:p>
      <w:r>
        <w:t>IT: GE_GERICHTE JTAPI/1161/2021 del 18 novembre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w:t>
      </w:r>
    </w:p>
    <w:p>
      <w:r>
        <w:rPr>
          <w:b/>
        </w:rPr>
        <w:t>E. 4</w:t>
      </w:r>
    </w:p>
    <w:p>
      <w:r>
        <w:t>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w:t>
      </w:r>
    </w:p>
    <w:p>
      <w:r>
        <w:t>- 10/18 - A/2110/2019 bonne foi, l'égalité de traitement, la proportionnalité et l'interdiction de l'arbitraire (ATA/366/2013 du 11 juin 2013 consid. 3a et la référence citée).</w:t>
      </w:r>
    </w:p>
    <w:p>
      <w:r>
        <w:rPr>
          <w:b/>
        </w:rPr>
        <w:t>E. 5</w:t>
      </w:r>
    </w:p>
    <w:p>
      <w:r>
        <w:t>À titre préliminaire, s'agissant de la qualité pour recourir de la Ville de Genève, selon les art. 34 al. 1 LaLAT et 145 al. 2 LCI, la commune du lieu de situation peut recourir contre les décisions du département du territoire.</w:t>
      </w:r>
    </w:p>
    <w:p>
      <w:r>
        <w:rPr>
          <w:b/>
        </w:rPr>
        <w:t>E. 6</w:t>
      </w:r>
    </w:p>
    <w:p>
      <w:r>
        <w:t>Elle dispose de cette qualité du seul fait que la construction ou l'installation projetée se trouve sur son territoire (ATA/1104/2020 du 3 novembre 2020, consid. 1 et réf. cit).</w:t>
      </w:r>
    </w:p>
    <w:p>
      <w:r>
        <w:rPr>
          <w:b/>
        </w:rPr>
        <w:t>E. 7</w:t>
      </w:r>
    </w:p>
    <w:p>
      <w:r>
        <w:t>En l'espèce, le projet de modification d'une installation pour téléphonie mobile litigieux est situé sur la parcelle n° 4036 située dans la commune de Genève- Plainpalais. La qualité pour recourir de la recourante est donc manifestement donnée.</w:t>
      </w:r>
    </w:p>
    <w:p>
      <w:r>
        <w:rPr>
          <w:b/>
        </w:rPr>
        <w:t>E. 8</w:t>
      </w:r>
    </w:p>
    <w:p>
      <w:r>
        <w:t>Sur le fond, le litige porte sur l’autorisation d’implanter une installation de téléphonie mobile en 2ème zone de construction.</w:t>
      </w:r>
    </w:p>
    <w:p>
      <w:r>
        <w:rPr>
          <w:b/>
        </w:rPr>
        <w:t>E. 9</w:t>
      </w:r>
    </w:p>
    <w:p>
      <w:r>
        <w:t>La recourante fait essentiellement valoir qu'avec un écart maximal de ± 45 %, l’incertitude de la prise d’échantillon quant au respect de la VLInst, arrêtée à 5 V/m par l’ORNI, est trop grande pour garantir que la limite ne sera pas dépassée. Le département aurait par conséquent dû fixer à 3.45 V/m la limite maximale de la VLInst, en prenant en compte la marge d’erreur de ± 45 %.</w:t>
      </w:r>
    </w:p>
    <w:p>
      <w:r>
        <w:rPr>
          <w:b/>
        </w:rPr>
        <w:t>E. 10</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11</w:t>
      </w:r>
    </w:p>
    <w:p>
      <w:r>
        <w:t>En droit fédéral, la protection contre les effets nocifs ou gênants causés notamment par les rayonnements non ionisants issus des antennes de téléphonie mobile est régie par la loi fédérale du 7 octobre 1983 sur la protection de l'environnement (loi sur la protection de l'environnement, LPE ; RS 814.01) et les ordonnances qui en découlent (cf. ATF 138 II 173 consid. 5.1 ; arrêt 1C_97/2018 du 3 septembre 2019 consid. 3.1 ; J. DRITTENBASS, op.cit., p. 140).</w:t>
      </w:r>
    </w:p>
    <w:p>
      <w:r>
        <w:rPr>
          <w:b/>
        </w:rPr>
        <w:t>E. 12</w:t>
      </w:r>
    </w:p>
    <w:p>
      <w:r>
        <w:t>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w:t>
      </w:r>
    </w:p>
    <w:p>
      <w:r>
        <w:t>- 11/18 - A/2110/2019 mesures à la source (art. 11 al. 1 LPE), notamment par l'édiction de valeurs limites d'émission dans les ordonnances (art. 12 al. 1 let. a et al. 2 LPE).</w:t>
      </w:r>
    </w:p>
    <w:p>
      <w:r>
        <w:rPr>
          <w:b/>
        </w:rPr>
        <w:t>E. 13</w:t>
      </w:r>
    </w:p>
    <w:p>
      <w:r>
        <w:t>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14</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 d'immission qui doivent être respectées partout où des personnes peuvent être présentes (art. 13 al. 1 et annexe 2 ORNI ; ATF 126 II 399 consid. 3a ; arrêt du Tribunal fédéral 1C_627/2019 du 6 octobre 2020 consid. 3.1).</w:t>
      </w:r>
    </w:p>
    <w:p>
      <w:r>
        <w:rPr>
          <w:b/>
        </w:rPr>
        <w:t>E. 15</w:t>
      </w:r>
    </w:p>
    <w:p>
      <w:r>
        <w:t>En outre, le Conseil fédéral a fixé des valeurs limites d'installation pour concrétiser le principe de précaution en vertu de l'art. 11 al. 2 LPE (art. 3 al. 6 et art. 4 al. 1, ainsi que l'annexe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valeur limite d'installation d'une installation donnée (art. 3 al. 3 et al. 6, art. 4 al. 1 et annexe 1</w:t>
      </w:r>
    </w:p>
    <w:p>
      <w:r>
        <w:t>- 12/18 - A/2110/2019 ch. 65 ORNI ; cf. ATF 128 II 378 consid. 6.2.2 ; arrêt du Tribunal fédéral 1C_627/2019 du 6 octobre 2020 consid. 3.1). L'annexe 1 ch. 64 ORNI prévoit que la valeur limite d'installation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16</w:t>
      </w:r>
    </w:p>
    <w:p>
      <w:r>
        <w:t>Ainsi, les valeurs limites d'immission et d'installation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 DRITTENBASS, op. cit., p. 138).</w:t>
      </w:r>
    </w:p>
    <w:p>
      <w:r>
        <w:rPr>
          <w:b/>
        </w:rPr>
        <w:t>E. 17</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valeurs limites de l'installation mentionnées plus haut (ch. 64 annexe 1 ORNI).</w:t>
      </w:r>
    </w:p>
    <w:p>
      <w:r>
        <w:rPr>
          <w:b/>
        </w:rPr>
        <w:t>E. 18</w:t>
      </w:r>
    </w:p>
    <w:p>
      <w:r>
        <w:t>Selon la jurisprudence du Tribunal fédéral, l'étendue de la limitation préventive des émissions selon l'art. 4 al. 1 ORNI est déterminée de manière exhaustive avec l'édiction des valeurs limites d'installation,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DRITTENBASS, op. cit., p. 141-142).</w:t>
      </w:r>
    </w:p>
    <w:p>
      <w:r>
        <w:rPr>
          <w:b/>
        </w:rPr>
        <w:t>E. 19</w:t>
      </w:r>
    </w:p>
    <w:p>
      <w:r>
        <w:t>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w:t>
      </w:r>
    </w:p>
    <w:p>
      <w:r>
        <w:rPr>
          <w:b/>
        </w:rPr>
        <w:t>E. 20</w:t>
      </w:r>
    </w:p>
    <w:p>
      <w:r>
        <w:t>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10 novembre 2021). Il y est expressément indiqué que l'ORNI s’applique aussi bien à la technologie de</w:t>
      </w:r>
    </w:p>
    <w:p>
      <w:r>
        <w:t>- 13/18 - A/2110/2019 téléphonie mobile de type 2G (GSM), 3G (UMTS), 4G (LTE) ou 5G (New Radio) (Explications OFEV, p. 3).</w:t>
      </w:r>
    </w:p>
    <w:p>
      <w:r>
        <w:rPr>
          <w:b/>
        </w:rPr>
        <w:t>E. 21</w:t>
      </w:r>
    </w:p>
    <w:p>
      <w:r>
        <w:t>Aussi en date du 23 février 2021, l'OFEV a publié un complément à la recommandation d'exécution de l'ordonnance sur la protection contre le rayonnement non ionisant (ORNI) concernant les stations de base pour téléphonie mobile et raccordements sans fil (WLL) de l'OFEFP (actuellement : OFEV) de 2002 (ci-après: le complément – https://www.newsd.admin.ch/ newsd/message/attachments/65394.pdf; consulté le 10 novembre 2021).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22</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w:t>
      </w:r>
    </w:p>
    <w:p>
      <w:r>
        <w:t>- 14/18 - A/2110/2019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23</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24</w:t>
      </w:r>
    </w:p>
    <w:p>
      <w:r>
        <w:t>De surcroît,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w:t>
      </w:r>
    </w:p>
    <w:p>
      <w:r>
        <w:t>- 15/18 - A/2110/2019 l'OFCOM en date du 23 juin 2021 (Validierungszertifikat QSS Swisscom, accessible à l'adresse https://www.bafu.admin.ch/bafu/fr/home/themes/ electrosmog/info-specialistes/mesures-contre-l-electrosmog/assurance-de-la- qualite-en-ce-qui-concerne-le-respect-des-valeur.html; consulté le 10 novembre 2021). 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25</w:t>
      </w:r>
    </w:p>
    <w:p>
      <w:r>
        <w:t>Dans le cas d'espèce, la fiche de données spécifique au site du 2 juin 2021 soumise par l'intimée contient les informations requises par l'ORNI revisitée, malgré l'incohérence de date relevée par la recourante, au surplus sans incidence sur le cas d'espèce. D'après cette fiche, les installations émettant dans des gammes de fréquence entre 700 MHz et 3800 MHz, la valeur limite d'installation à respecter est celle prévue à l'art. 3 al. 3 let. c ORNI, soit 5.0 V/m. S'agissant du rayonnement dans les LUS les plus chargés, toutes les mesures présentent une intensité de champ électrique inférieure à la valeur limite d'installation fixée à 5.0 V/m. Ces mesures ont été vérifiée par le SABRA, autorité spécialisée compétente, sans que celle-ci n'ait mis en doute leur véracité. En l'absence d'éléments indiquant le contraire, il n'y a également pas lieu pour le tribunal de céans de les remettre en cause. Globalement, la procédure suivie par le département n'est pas critiquable. Le permis de construire garantit le respect des valeurs limites pertinentes, notamment par le biais des conditions associées comprises dans le préavis du SABRA. C'est précisément le mécanisme de contrôle rétrospectif qui garantit que les calculs effectués à l'avance pourront être corrigés rétrospectivement si nécessaire, au cas où la réalité ultérieure ne correspondrait pas aux hypothèses prévues. Ainsi, il n'y avait pas lieu pour le département de réduire les valeurs limites d'installation pour tenir compte de la marge d'incertitude de mesure de ± 45 %, contrairement à l'avis de la recourante. Il sied à cet égard de préciser que la jurisprudence du Tribunal fédéral est claire : la limitation préventive des émissions prévues par l'ORNI est déterminée de manière exhaustive avec l'édiction des valeurs limite d'installation, sans que le département ne puisse exiger une limitation supplémentaire dans un cas individuel. Ainsi, en octroyant l'autorisation de construire sur la base de la prévision que l'installation respecterait les valeurs limites d'installation, moyennant les réserves émises dans le préavis du SABRA, la décision du département est conforme au droit fédéral. Elle devra toutefois être réformée en tant qu'elle impose à l'intimée</w:t>
      </w:r>
    </w:p>
    <w:p>
      <w:r>
        <w:t>- 16/18 - A/2110/2019 de respecter les conditions du préavis du SABRA du 31 octobre 2018, puisque ce préavis a été actualisé par un nouveau préavis en date du 17 juin 2021, lequel se distingue du précédent notamment en ce qu'il fixe à 129 m au lieu de 133 m le rayon de la surface susceptible de produire des immissions dépassant la VLInst, et en ce qu'il indique expressément les puissances maximales autorisées pour chaque antenne.</w:t>
      </w:r>
    </w:p>
    <w:p>
      <w:r>
        <w:rPr>
          <w:b/>
        </w:rPr>
        <w:t>E. 26</w:t>
      </w:r>
    </w:p>
    <w:p>
      <w:r>
        <w:t>Le grief est donc rejeté.</w:t>
      </w:r>
    </w:p>
    <w:p>
      <w:r>
        <w:rPr>
          <w:b/>
        </w:rPr>
        <w:t>E. 27</w:t>
      </w:r>
    </w:p>
    <w:p>
      <w:r>
        <w:t>Ensuite, la recourante fait valoir des incertitudes scientifiques liés au rayonnement non ionisant produits par les réseaux 5G devant conduire les autorités à appliquer pleinement le principe de précaution et donc de veiller à l'application effective des valeurs limites d'installation.</w:t>
      </w:r>
    </w:p>
    <w:p>
      <w:r>
        <w:rPr>
          <w:b/>
        </w:rPr>
        <w:t>E. 28</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29</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Auswirkungen von nichtionisierender Strahlung auf den Menschen, DEP 2021, p. 117-133, p. 127 ss). Sans indice</w:t>
      </w:r>
    </w:p>
    <w:p>
      <w:r>
        <w:t>- 17/18 - A/2110/2019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rPr>
          <w:b/>
        </w:rPr>
        <w:t>E. 30</w:t>
      </w:r>
    </w:p>
    <w:p>
      <w:r>
        <w:t>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31</w:t>
      </w:r>
    </w:p>
    <w:p>
      <w:r>
        <w:t>En l'espèce, la recourante entend en substance démontrer que les ondes électromagnétiques induites par les antennes téléphoniques litigieuses présentent un risque pour la santé. Or, il est constant que le corps humain est sensible aux champs électromagnétiques, comme l'admet d'ailleurs le rapport "Téléphonie mobile et rayonnement" du 18 novembre 2019, la question étant de savoir quelle intensité d'exposition peut être jugée acceptable. Par conséquent, les généralités sur les effets des champs électromagnétiques induits par les antennes de téléphonie mobile – aussi pertinentes soient-elles –n'apportent rien au débat sur la valeur probante – même relative – des nombreuses études scientifiques menées jusqu'ici et ne délégitime pas les valeurs limites fixées par l'ordonnance.</w:t>
      </w:r>
    </w:p>
    <w:p>
      <w:r>
        <w:rPr>
          <w:b/>
        </w:rPr>
        <w:t>E. 32</w:t>
      </w:r>
    </w:p>
    <w:p>
      <w:r>
        <w:t>Le grief doit ainsi également être rejeté.</w:t>
      </w:r>
    </w:p>
    <w:p>
      <w:r>
        <w:rPr>
          <w:b/>
        </w:rPr>
        <w:t>E. 33</w:t>
      </w:r>
    </w:p>
    <w:p>
      <w:r>
        <w:t>Entièrement mal fondé, le recours est rejeté. Par application du droit d'office, le tribunal réformera toutefois la décision litigieuse au sens du considérant 25 in fine.</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1'200.- qui tient compte notamment des décisions incidentes rendues par le tribunal en cours de procédure ; il est partiellement couvert par l’avance de frais versée à la suite du dépôt du recours.</w:t>
      </w:r>
    </w:p>
    <w:p>
      <w:r>
        <w:rPr>
          <w:b/>
        </w:rPr>
        <w:t>E. 35</w:t>
      </w:r>
    </w:p>
    <w:p>
      <w:r>
        <w:t>L'intimée n'ayant pas conclu au versement d'une indemnité de procédure et n'ayant d'ailleurs – à teneur du dossier – pas fait appel à un mandataire externe, il ne lui en sera pas alloué (art. 87 al. 2 à 4 LPA et 6 RFPA).</w:t>
      </w:r>
    </w:p>
    <w:p>
      <w:r>
        <w:t>- 18/18 - A/2110/2019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