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JTAPI/115/2024 vom 24. August 2023</w:t>
      </w:r>
    </w:p>
    <w:p>
      <w:r>
        <w:t>GE Cour de justice, 2023-08-24, FR</w:t>
      </w:r>
    </w:p>
    <w:p>
      <w:r>
        <w:rPr>
          <w:b/>
        </w:rPr>
        <w:t xml:space="preserve">Quelle: </w:t>
      </w:r>
      <w:r>
        <w:t>https://mcp.opencaselaw.ch/entscheid/ge_gerichte_JTAPI_115_2024</w:t>
      </w:r>
    </w:p>
    <w:p>
      <w:r>
        <w:t>FR: GE_GERICHTE JTAPI/115/2024 du 24 août 2023</w:t>
      </w:r>
    </w:p>
    <w:p>
      <w:r>
        <w:t>IT: GE_GERICHTE JTAPI/115/2024 del 24 agosto 2023</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LPFisc ; art. 140 LIFD).</w:t>
      </w:r>
    </w:p>
    <w:p>
      <w:r>
        <w:t>- 3/5 - A/2695/2023</w:t>
      </w:r>
    </w:p>
    <w:p>
      <w:r>
        <w:rPr>
          <w:b/>
        </w:rPr>
        <w:t>E. 2</w:t>
      </w:r>
    </w:p>
    <w:p>
      <w:r>
        <w:t>Le recours a été interjeté en temps utile, dans les formes prescrites et devant la juridiction compétente au sens des art. 49 LPFisc et 140 LIFD. Sous cet angle, il doit être déclaré recevable.</w:t>
      </w:r>
    </w:p>
    <w:p>
      <w:r>
        <w:rPr>
          <w:b/>
        </w:rPr>
        <w:t>E. 3</w:t>
      </w:r>
    </w:p>
    <w:p>
      <w:r>
        <w:t>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(ATA/542/2023 du 23 mai 2023 consid. 2.1 et les arrêts cités). Ainsi, l'autorité de recours n'examine pas les prétentions et les griefs qui n'ont pas fait l'objet du prononcé de l'instance inférieure, sous peine de détourner sa mission de contrôle, de violer la compétence fonctionnelle de cette autorité-ci, d'enfreindre le principe de l'épuisement des voies de droit préalables et, en définitive, de priver les parties d'un degré de juridiction (ATA/542/2023 précité consid. 2.1 et les réf.).</w:t>
      </w:r>
    </w:p>
    <w:p>
      <w:r>
        <w:rPr>
          <w:b/>
        </w:rPr>
        <w:t>E. 4</w:t>
      </w:r>
    </w:p>
    <w:p>
      <w:r>
        <w:t>À teneur de l’art. 60 al. 1 let. b de la loi genevoise sur la procédure administrative du 12 septembre 1985 (LPA – E 5 10), toute personne qui est touchée directement par une loi constitutionnelle, une loi, un règlement du Conseil d’État ou une décision a un intérêt personnel digne de protection à ce que l’acte soit annulé ou modifié. Un intérêt digne de protection suppose un intérêt actuel à obtenir l'annulation de la décision attaquée (ATF 135 I 79 consid. 1). L'existence d'un intérêt actuel s'apprécie non seulement au moment du dépôt du recours, mais aussi lors du prononcé de la décision sur recours ; s'il s'éteint pendant la procédure, le recours, devenu sans objet, doit être simplement radié du rôle (ATF 125 V 373) ou déclaré irrecevable si l'intérêt actuel faisait déjà défaut au moment du dépôt du recours (ATF 139 I 206 consid. 1.1 et la jurisprudence citée).</w:t>
      </w:r>
    </w:p>
    <w:p>
      <w:r>
        <w:rPr>
          <w:b/>
        </w:rPr>
        <w:t>E. 5</w:t>
      </w:r>
    </w:p>
    <w:p>
      <w:r>
        <w:t>En l’espèce, la décision attaquée ne porte que sur l’impôt à la source 2021. Par conséquent, l’objet du litige se limite à cette période fiscale. Ainsi, les conclusions du recourant tendant à ce que l’AFC-GE rectifie ses taxations 2022 et 2023 doivent être déclarées irrecevables. Au surplus, il convient de relever qu’il n’a même pas été taxé pour ces deux années.</w:t>
      </w:r>
    </w:p>
    <w:p>
      <w:r>
        <w:t>- 4/5 - A/2695/2023 En ce qui concerne l’année 2021, l’AFC-GE a accepté d’entrer en matière sur sa réclamation et le mettre au bénéfice d’une taxation ordinaire. Son recours est dès lors devenu sans objet en tant qu’il concerne cette question.</w:t>
      </w:r>
    </w:p>
    <w:p>
      <w:r>
        <w:rPr>
          <w:b/>
        </w:rPr>
        <w:t>E. 6</w:t>
      </w:r>
    </w:p>
    <w:p>
      <w:r>
        <w:t>En application des art. 144 al. 1 LIFD, 52 al. 1 LPFisc, 87 al. 1 LPA et 1 et 2 du règlement sur les frais, émoluments et indemnités en procédure administrative du 30 juillet 1986 (RFPA - E 5 10.03), le recourant est condamné au paiement d’un émolument réduit s'élevant à CHF 350.- ; il est couvert par l’avance de frais versée à la suite du dépôt du recours. Le solde de l’avance de frais de CHF 350.- lui sera restitué. Vu l’issue du litige, aucune indemnité de procédure ne sera allouée (art. 87 al. 2 LPA).</w:t>
      </w:r>
    </w:p>
    <w:p>
      <w:r>
        <w:t>- 5/5 - A/2695/2023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