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JTAPI/1154/2024 vom 27. September 2013</w:t>
      </w:r>
    </w:p>
    <w:p>
      <w:r>
        <w:t>GE Cour de justice, 2013-09-27, FR</w:t>
      </w:r>
    </w:p>
    <w:p>
      <w:r>
        <w:rPr>
          <w:b/>
        </w:rPr>
        <w:t xml:space="preserve">Quelle: </w:t>
      </w:r>
      <w:r>
        <w:t>https://mcp.opencaselaw.ch/entscheid/ge_gerichte_JTAPI_1154_2024</w:t>
      </w:r>
    </w:p>
    <w:p>
      <w:r>
        <w:t>FR: GE_GERICHTE JTAPI/1154/2024 du 27 septembre 2013</w:t>
      </w:r>
    </w:p>
    <w:p>
      <w:r>
        <w:t>IT: GE_GERICHTE JTAPI/1154/2024 del 27 settembre 2013</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t>- 6/10 - A/1632/2024</w:t>
      </w:r>
    </w:p>
    <w:p>
      <w:r>
        <w:rPr>
          <w:b/>
        </w:rPr>
        <w:t>E. 2</w:t>
      </w:r>
    </w:p>
    <w:p>
      <w:r>
        <w:t>Interjeté en temps utile et dans les formes prescrites devant la juridiction compétente, le recours est recevable au sens des art. 49 LPFisc et 140 LIFD.</w:t>
      </w:r>
    </w:p>
    <w:p>
      <w:r>
        <w:rPr>
          <w:b/>
        </w:rPr>
        <w:t>E. 2.2</w:t>
      </w:r>
    </w:p>
    <w:p>
      <w:r>
        <w:t>; 123 II 9 consid. 4b ; arrêt du Tribunal fédéral 2C_354/2010 du 4 octobre 2010 consid. 4.3).</w:t>
      </w:r>
    </w:p>
    <w:p>
      <w:r>
        <w:t>Il en va autrement si le bien immobilier reste vide et inoccupé pour des raisons externes, sans la volonté du contribuable, par exemple parce qu’un locataire ne peut pas être trouvé, parce que l’immeuble n’est que partiellement utilisable ou parce que l’immeuble est en vente et doit donc rester vide (Nicolas MERLINO in Yves NOËL, Florence AUBRY GIRARDIN, Commentaire romand de la loi fédérale sur l’impôt fédéral direct, 2017, ad art. 21 LIFD, § 99, p. 525 et les références de jurisprudence citées).</w:t>
      </w:r>
    </w:p>
    <w:p>
      <w:r>
        <w:rPr>
          <w:b/>
        </w:rPr>
        <w:t>E. 3</w:t>
      </w:r>
    </w:p>
    <w:p>
      <w:r>
        <w:t>Dans un premier grief, le recourant conteste l’imposition de la valeur locative de la villa, au motif qu’elle n’a pas été occupée ni par lui-même ni par ses enfants et qu’elle n’a pas non plus été louée en raison de sa mise en vente durant les années fiscales considérées.</w:t>
      </w:r>
    </w:p>
    <w:p>
      <w:r>
        <w:rPr>
          <w:b/>
        </w:rPr>
        <w:t>E. 4</w:t>
      </w:r>
    </w:p>
    <w:p>
      <w:r>
        <w:t>Aux termes des art. 21 al. 1 let. b LIFD et 24 al. 1 let b de la loi sur l'imposition des personnes physiques du 27 septembre 2009 (LIPP - D 3 08), est imposable, à titre de revenu, la valeur locative des immeubles ou de parties d'immeubles dont le contribuable se réserve l'usage en raison de son droit de propriété ou d'un droit de jouissance obtenu à titre gratuit. On parle de droit d’usage propre par le propriétaire, déclenchant l’imposition de la valeur locative, lorsque celui-ci habite lui-même le bien immobilier ou qu’il s’en réserve l’usage dans un autre but (ATF 132 I 157 consid. 3.3 ; 131 I 377 consid.</w:t>
      </w:r>
    </w:p>
    <w:p>
      <w:r>
        <w:rPr>
          <w:b/>
        </w:rPr>
        <w:t>E. 5</w:t>
      </w:r>
    </w:p>
    <w:p>
      <w:r>
        <w:t>Il y a usage propre du bien immobilier également lorsque son occupation intervient au travers du conjoint ou des enfants du propriétaire, ou d’autres personnes bénéficiaires d’une obligation d’entretien qui vivent dans la maison du propriétaire, sans verser une contre-prestation. L'usage personnel d'un immeuble ne se limite pas aux cas où le propriétaire occupe personnellement l'immeuble, mais est aussi admis lorsqu'il conserve, sans l'exercer, le droit de l'occuper en tout temps. Cette situation se présente non seulement lorsque le contribuable dispose d'une résidence secondaire, mais également lorsqu'un propriétaire met à disposition d'un proche un logement ou une résidence secondaire (Ibid. ad art. 21 LIFD n. 89 à 92 et les réf. citées).</w:t>
      </w:r>
    </w:p>
    <w:p>
      <w:r>
        <w:rPr>
          <w:b/>
        </w:rPr>
        <w:t>E. 6</w:t>
      </w:r>
    </w:p>
    <w:p>
      <w:r>
        <w:t>En matière d’assujettissement à l’impôt, l’adresse enregistrée auprès de l'OCPM ne constitue qu’un indice de domicile fiscal (cf. ATF 136 II 405 consid. 4.3 ; arrêt du Tribunal fédéral 9C_747/2015 du 12 mai 2016 consid. 4.2). En revanche, cette adresse est déterminante pour savoir si un enfant majeur a fait ménage commun avec son parent au 31 décembre de l'année fiscale considérée (cf. l’information n° 2/2011 de l'AFC-GE et son annexe n° 3, disponibles à l'adresse https://www.ge.ch/document/358/telecharger).</w:t>
      </w:r>
    </w:p>
    <w:p>
      <w:r>
        <w:t>- 7/10 - A/1632/2024</w:t>
      </w:r>
    </w:p>
    <w:p>
      <w:r>
        <w:rPr>
          <w:b/>
        </w:rPr>
        <w:t>E. 7</w:t>
      </w:r>
    </w:p>
    <w:p>
      <w:r>
        <w:t>En matière fiscale,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 11 mai 2021 consid. 5b). Par ailleurs, conformément à la jurisprudence, dès lors que l'AFC-GE a écarté un montant lors de la taxation, puis lors de la réclamation, il appartient au recourant d'apporter spontanément les justificatifs y relatifs (arrêt du Tribunal fédéral 2C_132/2010 du 17 août 2010 consid. 3.5.3 ; ATA/830/2021 du 10 août 2021 consid. 5 et les références citées). De plus,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(ATA/513/2021 du 11 mai 2021 consid. 5b et les références citées).</w:t>
      </w:r>
    </w:p>
    <w:p>
      <w:r>
        <w:rPr>
          <w:b/>
        </w:rPr>
        <w:t>E. 8</w:t>
      </w:r>
    </w:p>
    <w:p>
      <w:r>
        <w:t>En l’espèce, au vu du dossier, il apparaît certes que le recourant n’a pas occupé lui- même la villa en 2020 et 2021, étant établi qu’il a loué un appartement avec sa concubine durant ces deux années. Toutefois, le fait que ce bien ait été mis en vente courant ces années n’excluait pas ipso facto la possibilité qu’il puisse néanmoins être occupé par le recourant et/ou ses enfants. En effet, comme cela ressort du JTAPI/1381/2022 du 12 décembre 2022 cité par l'AFC-GE, les précités ont habité dans la villa en 2018, alors même qu’elle était en vente durant cette année également. Or, au vu des éléments figurant au dossier, il faut admettre que durant les années considérées, la villa a été occupée, à tout le moins, par F______. En effet, selon les données de l'OCPM, ce dernier a résidé à l’adresse de ce bien du 29 septembre 2000 au 12 décembre 2022. Quoi qu’en dise le recourant, cet élément doit être considéré comme déterminant pour retenir que F______ y a effectivement habité, ou que l’usage de la villa a été réservé pour lui, étant donné que rien n’indique qu’il aurait occupé un autre logement en Suisse ou à l’étranger. Le recourant n’a en effet fourni aucun élément de preuve démontrant que tel aurait été le cas. Il n’a au demeurant pas prouvé que F______ avait effectivement étudié à l’étranger en 2020 et 2021, les certificats universitaires qu’il a produits concernant les années antérieures à celles en cause ici. L’affirmation du recourant et de son ex-épouse que F______ aurait résidé exclusivement chez cette dernière n’est également étayée par aucun élément de preuve, tel que, par exemple, des correspondances qui lui aurait été</w:t>
      </w:r>
    </w:p>
    <w:p>
      <w:r>
        <w:t>- 8/10 - A/1632/2024 expédiées à l’adresse de sa mère. D’ailleurs, en mars 2024, F______ a indiqué à l'AFC-GE avoir habité chez sa mère « ou » chez son père, lorsqu’il se trouvait à Genève, ce qui contredit l’affirmation de ses parents, selon laquelle il n’aurait résidé que chez sa mère. Enfin, si une adresse enregistrée auprès de l'OCPM ne constitue qu’un simple indice en matière de domicile fiscal, elle est certainement décisive lorsqu’il est question de savoir si un enfant majeur est domicilié chez ses parents, ou non. Finalement, c’est en vain que le recourant s’appuie sur le jugement de son divorce, prétendant que celui-ci exclurait le droit des ex-époux d’occuper la villa avant sa vente qu’il ordonnait. En effet, ce jugement se limite à donner acte aux ex-époux de ce qu’ils avaient « convenu » de vendre leur villa, précisant qu’ils « pourr[aient] » la louer avant sa vente et ne leur interdisant nullement de l’occuper eux-mêmes. Dans ces conditions, il faut admettre qu’en 2020 et 2021, le recourant s’est effectivement réservé l’usage propre de son bien, ce qui déclenche l’imposition, auprès de lui, de la valeur locative y relative. Il faut enfin relever qu’il a bénéficié tant de l’abattement sur la valeur de ce bien (40 %) que des déductions pour des frais d’entretien y relatifs, soit des éléments étroitement liés à l’imposition de sa valeur locative. Ce grief est ainsi écarté.</w:t>
      </w:r>
    </w:p>
    <w:p>
      <w:r>
        <w:rPr>
          <w:b/>
        </w:rPr>
        <w:t>E. 9</w:t>
      </w:r>
    </w:p>
    <w:p>
      <w:r>
        <w:t>Le recourant revendique deux demi-charges de famille pour ses parents.</w:t>
      </w:r>
    </w:p>
    <w:p>
      <w:r>
        <w:rPr>
          <w:b/>
        </w:rPr>
        <w:t>E. 10</w:t>
      </w:r>
    </w:p>
    <w:p>
      <w:r>
        <w:t>Selon l’art. 39 al. 2 let. c LIPP, constituent des charges de famille des proches incapables de subvenir entièrement à leurs besoins, à savoir notamment les ascendants incapables de subvenir entièrement à leurs besoins, qui, pour les année fiscales 2020 et 2021, n’ont pas une fortune supérieure à respectivement CHF 87'330.- et CHF 88'776.- ni un revenu annuel supérieur à respectivement 15'303.- et CHF 15'557.- (charge entière) ou à respectivement 22'955.- et CHF 23'335.- (demi-charge), pour celui de leur proche qui pourvoit à leur entretien. La déduction est toutefois limitée aux dépenses effectivement encourues mais au maximum aux montants figurant à l’al. 1 [CHF 13'000.-].</w:t>
      </w:r>
    </w:p>
    <w:p>
      <w:r>
        <w:rPr>
          <w:b/>
        </w:rPr>
        <w:t>E. 11</w:t>
      </w:r>
    </w:p>
    <w:p>
      <w:r>
        <w:t>Aux termes de l’art. 35 al. 1 let. b LIFD, sont déduits du revenu CHF 6'500.- pour chaque personne totalement ou partiellement incapable d’exercer une activité lucrative, à l’entretien de laquelle le contribuable pourvoit, à condition que son aide atteigne au moins le montant de la déduction. Cette déduction est fixée en fonction de la situation du contribuable à la fin de la période fiscale ou de l’assujettissement (al. 2).</w:t>
      </w:r>
    </w:p>
    <w:p>
      <w:r>
        <w:rPr>
          <w:b/>
        </w:rPr>
        <w:t>E. 12</w:t>
      </w:r>
    </w:p>
    <w:p>
      <w:r>
        <w:t>À teneur de l’art. 24 al. 1 du règlement d'application de la LIPP du 13 janvier 2010 (RIPP - D 3 08.1), le revenu au sens de l’art. 39 al. 2 let. b et c LIPP s’entend de l’ensemble des revenus bruts, prestations et avantages, qu’ils soient uniques ou périodiques, en espèces ou en nature, exonérés ou non, et quelle qu’en soit l’origine, dont bénéficie la personne considérée. Par ailleurs, dans sa jurisprudence, la</w:t>
      </w:r>
    </w:p>
    <w:p>
      <w:r>
        <w:t>- 9/10 - A/1632/2024 chambre administrative se réfère au revenu brut du proche dans le besoin lors de l’examen des conditions pour reconnaître une charge de famille (ATA/631/2021 du</w:t>
      </w:r>
    </w:p>
    <w:p>
      <w:r>
        <w:rPr>
          <w:b/>
        </w:rPr>
        <w:t>E. 15</w:t>
      </w:r>
    </w:p>
    <w:p>
      <w:r>
        <w:t>Partant, entièrement mal fondé, le recours sera rejeté.</w:t>
      </w:r>
    </w:p>
    <w:p>
      <w:r>
        <w:rPr>
          <w:b/>
        </w:rPr>
        <w:t>E. 16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900.- ; il est partiellement couvert par l’avance de frais versée à la suite du dépôt du recours.</w:t>
      </w:r>
    </w:p>
    <w:p>
      <w:r>
        <w:rPr>
          <w:b/>
        </w:rPr>
        <w:t>E. 17</w:t>
      </w:r>
    </w:p>
    <w:p>
      <w:r>
        <w:t>Vu l’issue du litige, aucune indemnité de procédure ne lui sera allouée (art. 87 al. 2 LPA).</w:t>
      </w:r>
    </w:p>
    <w:p>
      <w:r>
        <w:t>- 10/10 - A/1632/2024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