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JTAPI/1149/2024 vom 22. Oktober 2024</w:t>
      </w:r>
    </w:p>
    <w:p>
      <w:r>
        <w:t>GE Cour de justice, 2024-10-22, FR</w:t>
      </w:r>
    </w:p>
    <w:p>
      <w:r>
        <w:rPr>
          <w:b/>
        </w:rPr>
        <w:t xml:space="preserve">Quelle: </w:t>
      </w:r>
      <w:r>
        <w:t>https://mcp.opencaselaw.ch/entscheid/ge_gerichte_JTAPI_1149_2024</w:t>
      </w:r>
    </w:p>
    <w:p>
      <w:r>
        <w:t>FR: GE_GERICHTE JTAPI/1149/2024 du 22 octobre 2024</w:t>
      </w:r>
    </w:p>
    <w:p>
      <w:r>
        <w:t>IT: GE_GERICHTE JTAPI/1149/2024 del 22 ottobre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1.2</w:t>
      </w:r>
    </w:p>
    <w:p>
      <w:r>
        <w:t>;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l’autorité cantonale compétente peut enjoindre à un étranger de ne pas quitter le territoire qui lui est assigné ou de ne pas pénétrer dans une région déterminée dans les cas suivants : - l’étranger n’est pas titulaire d’une autorisation de courte durée, d’une autorisation de séjour ou d’une autorisation d’établissement et trouble ou menace la sécurité et l’ordre publics; cette mesure vise notamment à lutter contre le trafic illégal de stupéfiants (let. a); - l’étranger est frappé d’une décision de renvoi ou d’expulsion entrée en force et des éléments concrets font redouter qu’il ne quittera pas la Suisse dans le délai prescrit ou il n’a pas respecté le délai qui lui était imparti pour quitter le territoire (let. b); - l’exécution du renvoi ou de l’expulsion a été reportée (art. 69, al. 3) (let. c).</w:t>
      </w:r>
    </w:p>
    <w:p>
      <w:r>
        <w:rPr>
          <w:b/>
        </w:rPr>
        <w:t>E. 5</w:t>
      </w:r>
    </w:p>
    <w:p>
      <w:r>
        <w:t>Selon l'alinéa 2, 1ère phrase de cette disposition, la compétence d'ordonner ces mesures incombe au canton qui exécute le renvoi ou l'expulsion.</w:t>
      </w:r>
    </w:p>
    <w:p>
      <w:r>
        <w:rPr>
          <w:b/>
        </w:rPr>
        <w:t>E. 6</w:t>
      </w:r>
    </w:p>
    <w:p>
      <w:r>
        <w:t>De son côté, l'art. 6 al. 3 LaLEtr précise que l'étranger peut être contraint à ne pas pénétrer dans une région déterminée, aux conditions prévues à l'art. 74 LEI,</w:t>
      </w:r>
    </w:p>
    <w:p>
      <w:r>
        <w:t>- 5/10 - A/3743/2024 notamment suite à une condamnation pour vol, brigandage, lésions corporelles intentionnelles, dommage à la propriété ou pour une infraction à la LStup.</w:t>
      </w:r>
    </w:p>
    <w:p>
      <w:r>
        <w:rPr>
          <w:b/>
        </w:rPr>
        <w:t>E. 7</w:t>
      </w:r>
    </w:p>
    <w:p>
      <w:r>
        <w:t>Les mesures prévues par l'art. 74 al. 1 LEI visent à prévenir les atteintes à la sécurité et à l'ordre publics, plutôt qu'à sanctionner un comportement déterminé (cf. arrêt du Tribunal fédéral 2A.583/2000 du 6 avril 2001 consid. 2a).</w:t>
      </w:r>
    </w:p>
    <w:p>
      <w:r>
        <w:rPr>
          <w:b/>
        </w:rPr>
        <w:t>E. 8</w:t>
      </w:r>
    </w:p>
    <w:p>
      <w:r>
        <w:t>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De simples vétilles ne sauraient toutefois suffire, au regard du principe de la proportionnalité, pour prononcer une telle mesure (cf. Grégor CHATTON/Laurent MERZ, Code annoté de droit des migrations, vol. II, n. 16 ad art. 74 p. 733 et les arrêts cités).</w:t>
      </w:r>
    </w:p>
    <w:p>
      <w:r>
        <w:rPr>
          <w:b/>
        </w:rPr>
        <w:t>E. 9</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w:t>
      </w:r>
    </w:p>
    <w:p>
      <w:r>
        <w:rPr>
          <w:b/>
        </w:rPr>
        <w:t>E. 10</w:t>
      </w:r>
    </w:p>
    <w:p>
      <w:r>
        <w:t>La jurisprudence considère qu'une condamnation pénale n'a pas besoin d'être définitive pour fonder au moins l'existence de soupçons d'une infraction, lesquels sont suffisants dans le cadre de l'application de l'art. 74 LEI.</w:t>
      </w:r>
    </w:p>
    <w:p>
      <w:r>
        <w:t>- 6/10 - A/3743/2024</w:t>
      </w:r>
    </w:p>
    <w:p>
      <w:r>
        <w:rPr>
          <w:b/>
        </w:rPr>
        <w:t>E. 11</w:t>
      </w:r>
    </w:p>
    <w:p>
      <w:r>
        <w:t>En l'espèce, s'agissant de la première condition de l'art. 74 al. 1 let. a LEI, l’intéressée, qui est de nationalité roumaine, n'est pas au bénéfice d'une autorisation de courte durée (art. 32 LEI), de séjour (art. 33 LEI) ou d'établissement en Suisse (art. 34 LEI), ce qu’elle ne conteste pas. Son appartenance à un État partie à l’ALCP ne lui octroie par ailleurs pas ex lege une autorisation de séjour, et n’exclut pas par principe le prononcé d’une mesure de l’art. 74 LEI. S'agissant de la seconde condition, Mme A______ a notamment été condamnée par ordonnance pénale du 1er novembre 2024 pour vol. Même si sa condamnation n’est pas en force, puisqu’elle a été frappée d’opposition, les circonstances dans lesquelles l’intéressée a été arrêtée permettent à tout le moins de nourrir des soupçons sur sa participation au vol qui lui est reproché. Dans ces conditions, il n'est pas déraisonnable de penser que sa présence à Genève résulte d'une volonté de commettre ou de permettre la commission d’activités délictuelles et criminelles, telles que celle pour laquelle elle a été condamnée et qu'elle pourrait encore être amenée à en commettre ou à permettre leur commission. Dès lors, le commissaire de police pouvait effectivement considérer qu'elle constituait une menace pour l'ordre et la sécurité publics suffisante pour justifier l'application des art. 74 al. 1 let. a LEI et 6 al. 3 LaLEtr, dont les conditions sont donc réunies. L’on relèvera au demeurant que cette menace s’est réalisée puisque l’intéressée s’est faite arrêter le 4 novembre 2024 dans le magasin Migros de Cornavin, suite à un vol, deux jours après le prononcé de l’interdiction de pénétrer prise à son encontre, qu’elle n’a ainsi pas respectée. Elle a également été condamnée pour ce motif, condamnation frappée d’opposition.</w:t>
      </w:r>
    </w:p>
    <w:p>
      <w:r>
        <w:rPr>
          <w:b/>
        </w:rPr>
        <w:t>E. 12</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w:t>
      </w:r>
    </w:p>
    <w:p>
      <w:r>
        <w:rPr>
          <w:b/>
        </w:rPr>
        <w:t>E. 13</w:t>
      </w:r>
    </w:p>
    <w:p>
      <w:r>
        <w:t>L'art. 74 LEI ne précise pas la durée de la mesure. Celle-ci doit répondre au principe de proportionnalité, à savoir être adéquate au but visé et rester dans un rapport</w:t>
      </w:r>
    </w:p>
    <w:p>
      <w:r>
        <w:t>- 7/10 - A/3743/2024 raisonnable avec celui-ci (ATF 142 II 1 consid. 2.3). Elle ne peut pas être ordonnée pour une durée indéterminée (arrêts du Tribunal fédéral 2C_197/2013 du 31 juillet 2013 consid. 4.1 ; 2C_1044/2012 du 5 novembre 2012 consid. 3.3).</w:t>
      </w:r>
    </w:p>
    <w:p>
      <w:r>
        <w:rPr>
          <w:b/>
        </w:rPr>
        <w:t>E. 14</w:t>
      </w:r>
    </w:p>
    <w:p>
      <w:r>
        <w:t>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15</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16</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17</w:t>
      </w:r>
    </w:p>
    <w:p>
      <w:r>
        <w:t>A titre d'exemple, dans sa jurisprudence récente, la chambre administrative de la Cour de justice (ci-après : la chambre administrative) a notamment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 Elle a également confirmé l’interdiction du territoire de tout le canton pour une durée de douze mois prononcée contre un ressortissant français sans casier</w:t>
      </w:r>
    </w:p>
    <w:p>
      <w:r>
        <w:t>- 8/10 - A/3743/2024 judiciaire ni en Suisse ni en France interpellé par la police genevoise, dans le quartier des Pâquis, après avoir, selon les agents de police, été observé en train de participer à la vente à un tiers de 2.8 g de marijuana contre la somme de CHF 40.- mais dont la condamnation pénale pour les faits précités avait toutefois fait l’objet d’une ordonnance de classement, après son audition, vu la prévention pénale insuffisante s’agissant de la vente de produits stupéfiants et la faible quantité de cannabis détenue, destinée à sa propre consommation. Quand bien même les faits de trafic n’étaient plus retenus, restait que l'intimé détenait du haschich pour sa propre consommation et n'avait pas contesté se trouver dans un lieu notoire de revente de stupéfiants (carrefour entre la rue du Môle et la rue de Berne aux Pâquis), étant rappelé d'une part qu'une mesure basée sur l’art. 74 al. 1 let. a LEI ne présupposait pas une condamnation pénale de l’intéressé, et qu'elle pouvait se fonder à teneur de la jurisprudence sur la seule possession de stupéfiants destinés à une consommation personnelle, ce qui était le cas en l'espèce. Dès lors, le classement de la procédure pénale ne suffisait pas à permettre la levée de la mesure d'interdiction de périmètre. La mesure était au surplus proportionnée dans la mesure où l’intéressé n’avait pas démontré une quelconque nécessité de se rendre dans le canton de Genève, notamment pour y trouver du travail (ATA/34/2024 du 12 janvier 2024).</w:t>
      </w:r>
    </w:p>
    <w:p>
      <w:r>
        <w:rPr>
          <w:b/>
        </w:rPr>
        <w:t>E. 18</w:t>
      </w:r>
    </w:p>
    <w:p>
      <w:r>
        <w:t>En l’espèce, concernant le périmètre de l'interdiction, étendu à l'ensemble du canton de Genève, comme le tribunal de céans a déjà eu l'occasion de le retenir, il ne constitue pas un usage excessif du pouvoir d'appréciation de l'autorité intimée. Mme A______ n’indique au demeurant pas avoir de nécessité de se rendre à Genève en particulier où elle n’a ni attaches, ni lieu de vie, ni moyens de subsistance. Si elle soutient désormais vouloir y chercher du travail, elle ne fournit toutefois aucun début de preuve de démarches entreprises dans ce sens. Ces déclarations à l’audience de ce jour sont en outre en contradiction avec celles faites le 4 novembre 2024 à la police. A cette occasion, elle a en effet déclaré que si elle était relâchée, elle retournerait en Roumanie où elle dispose d’un domicile et où vivent ses parents. Compte tenu de ces éléments, l'intérêt des autorités genevoises à ne pas devoir tolérer la présence de Mme A______ sur le territoire, l'emporte sur l'intérêt de cette dernière à pouvoir y séjourner. L’on relèvera encore, à toutes fins utiles, que seul le canton de Genève lui est interdit, à ce stade, et qu’il lui est dès lors loisible de chercher du travail dans un autre canton. Le commissaire de police a en outre indiqué que si Mme A______ venait à trouver du travail à Genève, la délivrance d'un sauf-conduit pourrait être envisagée afin qu'elle puisse s'y rendre. Quant à la durée de la mesure fixée à douze mois par le commissaire de police, elle est conforme à la jurisprudence et apparait également proportionnée au regard des circonstances et des intérêts en présence, même s'il s'agit d'une première mesure.</w:t>
      </w:r>
    </w:p>
    <w:p>
      <w:r>
        <w:t>- 9/10 - A/3743/2024</w:t>
      </w:r>
    </w:p>
    <w:p>
      <w:r>
        <w:rPr>
          <w:b/>
        </w:rPr>
        <w:t>E. 19</w:t>
      </w:r>
    </w:p>
    <w:p>
      <w:r>
        <w:t>Partant, le tribunal confirmera l'interdiction de pénétrer dans une région déterminée prise à l'encontre de Mme A______ pour une durée de douze mois.</w:t>
      </w:r>
    </w:p>
    <w:p>
      <w:r>
        <w:rPr>
          <w:b/>
        </w:rPr>
        <w:t>E. 20</w:t>
      </w:r>
    </w:p>
    <w:p>
      <w:r>
        <w:t>Conformément à l'art. 9 al. 6 LaLEtr, le présent jugement sera communiqué à Mme A______, à son avocat et au commissaire de police. En vertu des art. 89 al. 2 et 111 al. 2 de la loi sur le Tribunal fédéral du 17 juin 2005 (LTF - RS 173.110), il sera en outre communiqué au secrétariat d'État aux migrations.</w:t>
      </w:r>
    </w:p>
    <w:p>
      <w:r>
        <w:rPr>
          <w:b/>
        </w:rPr>
        <w:t>E. 21</w:t>
      </w:r>
    </w:p>
    <w:p>
      <w:r>
        <w:t>Un éventuel recours déposé contre le présent jugement n'aura pas d'effet suspensif (art. 10 al. 1 LaLEtr).</w:t>
      </w:r>
    </w:p>
    <w:p>
      <w:r>
        <w:t>- 10/10 - A/3743/2024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