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JTAPI/1149/2022 vom 30. November 2021</w:t>
      </w:r>
    </w:p>
    <w:p>
      <w:r>
        <w:t>GE Cour de justice, 2021-11-30, FR</w:t>
      </w:r>
    </w:p>
    <w:p>
      <w:r>
        <w:rPr>
          <w:b/>
        </w:rPr>
        <w:t xml:space="preserve">Quelle: </w:t>
      </w:r>
      <w:r>
        <w:t>https://mcp.opencaselaw.ch/entscheid/ge_gerichte_JTAPI_1149_2022</w:t>
      </w:r>
    </w:p>
    <w:p>
      <w:r>
        <w:t>FR: GE_GERICHTE JTAPI/1149/2022 du 30 novembre 2021</w:t>
      </w:r>
    </w:p>
    <w:p>
      <w:r>
        <w:t>IT: GE_GERICHTE JTAPI/1149/2022 del 30 novembre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ne soulève aucun grief de fond au sujet de la décision litigieuse, dont il conteste uniquement qu'elle ait pu être rendue sans qu'il lui ait été donné au préalable l'occasion de s'exprimer. Selon lui, l'autorité intimée aurait dû</w:t>
      </w:r>
    </w:p>
    <w:p>
      <w:r>
        <w:t>- 4/6 - A/1508/2022 commencer par lui adresser un projet de refus de sa demande d'autorisation de séjour et lui impartir un délai de 30 jours afin qu'il exerce son droit d'être entendu.</w:t>
      </w:r>
    </w:p>
    <w:p>
      <w:r>
        <w:rPr>
          <w:b/>
        </w:rPr>
        <w:t>E. 3.2</w:t>
      </w:r>
    </w:p>
    <w:p>
      <w:r>
        <w:t>; 136 I 229 consid. 5.2 ; 134 I 83 consid. 4. 1). La motivation peut d'ailleurs être implicite et résulter des différents considérants de la décision (ATF 141 V 557 consid. 3.2.1 ; arrêt du Tribunal fédéral 1C_56/2019 du 14 octobre 2019 consid. 2.4.1 et les arrêts cités). 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Dans une procédure initiée sur requête d'un administré, celui-ci est censé la motiver en apportant tous les éléments pertinents ; il n'a donc pas un droit à être entendu encore par l'autorité avant que celle-ci ne prenne sa décision, afin de pouvoir présenter des observations complémentaires (ATA/1270/2021 du 23 novembre 2021 consid. 3a; ATA/450/2021 du 27 avril 2021 consid. 2c ; Thierry TANQUEREL, op. cit., p. 519 n. 1’530).</w:t>
      </w:r>
    </w:p>
    <w:p>
      <w:r>
        <w:rPr>
          <w:b/>
        </w:rPr>
        <w:t>E. 4</w:t>
      </w:r>
    </w:p>
    <w:p>
      <w:r>
        <w:t>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w:t>
      </w:r>
    </w:p>
    <w:p>
      <w:r>
        <w:rPr>
          <w:b/>
        </w:rPr>
        <w:t>E. 5</w:t>
      </w:r>
    </w:p>
    <w:p>
      <w:r>
        <w:t>En l'espèce, le recourant a pleinement participé à la requête d'autorisation de séjour avec activité lucrative de son employeur datée du 30 novembre 2021, que ce dernier n'a pas déposée à l'insu ou contre le gré du précité. Au demeurant, le recourant s'est vu adresser copie de la décision négative rendue à ce sujet par l'OCIRT le 23 février 2022. Le recourant n'était ainsi pas dans la situation d'une personne ignorante d'une procédure ouverte à son égard et qui reçoit une décision sur laquelle il n'a eu aucun moyen de peser. Il ne donne d'ailleurs aucune explication sur les raisons de son silence pendant le délai de plus d'un mois qui s'est écoulé entre la décision de l'OCIRT et celle de l'autorité intimée.</w:t>
      </w:r>
    </w:p>
    <w:p>
      <w:r>
        <w:t>- 5/6 - A/1508/2022</w:t>
      </w:r>
    </w:p>
    <w:p>
      <w:r>
        <w:rPr>
          <w:b/>
        </w:rPr>
        <w:t>E. 6</w:t>
      </w:r>
    </w:p>
    <w:p>
      <w:r>
        <w:t>Au vu de ce qui précède, le grief de violation de son droit d'être entendu est infondé.</w:t>
      </w:r>
    </w:p>
    <w:p>
      <w:r>
        <w:rPr>
          <w:b/>
        </w:rPr>
        <w:t>E. 7</w:t>
      </w:r>
    </w:p>
    <w:p>
      <w:r>
        <w:t>Dès lors que la décision litigieuse ne fait l'objet d'aucun autre grief, le recours devra être rejeté.</w:t>
      </w:r>
    </w:p>
    <w:p>
      <w:r>
        <w:rPr>
          <w:b/>
        </w:rPr>
        <w:t>E. 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9</w:t>
      </w:r>
    </w:p>
    <w:p>
      <w:r>
        <w:t>En vertu des art. 89 al. 2 et 111 al. 2 de la loi sur le Tribunal fédéral du 17 juin 2005 (LTF - RS 173.110), le présent jugement sera communiqué au secrétariat d'État aux migrations.</w:t>
      </w:r>
    </w:p>
    <w:p>
      <w:r>
        <w:t>- 6/6 - A/1508/2022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