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JTAPI/1141/2021 vom 15. November 2021</w:t>
      </w:r>
    </w:p>
    <w:p>
      <w:r>
        <w:t>GE Cour de justice, 2021-11-15, FR</w:t>
      </w:r>
    </w:p>
    <w:p>
      <w:r>
        <w:rPr>
          <w:b/>
        </w:rPr>
        <w:t xml:space="preserve">Quelle: </w:t>
      </w:r>
      <w:r>
        <w:t>https://mcp.opencaselaw.ch/entscheid/ge_gerichte_JTAPI_1141_2021</w:t>
      </w:r>
    </w:p>
    <w:p>
      <w:r>
        <w:t>FR: GE_GERICHTE JTAPI/1141/2021 du 15 novembre 2021</w:t>
      </w:r>
    </w:p>
    <w:p>
      <w:r>
        <w:t>IT: GE_GERICHTE JTAPI/1141/2021 del 15 novembre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À teneur de l'art. 27 al. 1 LCR, chacun se conformera aux signaux et marques ainsi qu'aux ordres de la police ; le feu rouge signifie "arrêt" (art. 68 OSR).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 4. En l'espèce le recourant ne conteste pas l'infraction reprochée. À savoir l'inobservation de la signalisation lumineuse à la phase rouge. Il reste en examiner la gravité.</w:t>
      </w:r>
    </w:p>
    <w:p>
      <w:r>
        <w:rPr>
          <w:b/>
        </w:rPr>
        <w:t>E. 5</w:t>
      </w:r>
    </w:p>
    <w:p>
      <w:r>
        <w:t>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rPr>
          <w:b/>
        </w:rPr>
        <w:t>E. 6</w:t>
      </w:r>
    </w:p>
    <w:p>
      <w:r>
        <w:t>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w:t>
      </w:r>
    </w:p>
    <w:p>
      <w:r>
        <w:t>- 5/8 - A/2379/2021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w:t>
      </w:r>
    </w:p>
    <w:p>
      <w:r>
        <w:rPr>
          <w:b/>
        </w:rPr>
        <w:t>E. 7</w:t>
      </w:r>
    </w:p>
    <w:p>
      <w:r>
        <w:t>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w:t>
      </w:r>
    </w:p>
    <w:p>
      <w:r>
        <w:rPr>
          <w:b/>
        </w:rPr>
        <w:t>E. 8</w:t>
      </w:r>
    </w:p>
    <w:p>
      <w:r>
        <w:t>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w:t>
      </w:r>
    </w:p>
    <w:p>
      <w:r>
        <w:rPr>
          <w:b/>
        </w:rPr>
        <w:t>E. 9</w:t>
      </w:r>
    </w:p>
    <w:p>
      <w:r>
        <w:t>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 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w:t>
      </w:r>
    </w:p>
    <w:p>
      <w:r>
        <w:t>- 6/8 - A/2379/2021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w:t>
      </w:r>
    </w:p>
    <w:p>
      <w:r>
        <w:rPr>
          <w:b/>
        </w:rPr>
        <w:t>E. 10</w:t>
      </w:r>
    </w:p>
    <w:p>
      <w:r>
        <w:t>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w:t>
      </w:r>
    </w:p>
    <w:p>
      <w:r>
        <w:rPr>
          <w:b/>
        </w:rPr>
        <w:t>E. 11</w:t>
      </w:r>
    </w:p>
    <w:p>
      <w:r>
        <w:t>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ce qui s'est avéré en l'espèce puisque l'accident a occasionné des blessures, même sans gravité, tant au motocycliste qu'à la passagère du recourant qu'à lui-même. Eu égard à la jurisprudence rappelée plus haut, c’est partant à juste titre que le SCV a qualifié la faute du recourant de grave et sa décision faisant application de l’art. 16c al. 1 let. a LCR, qui entraîne le retrait obligatoire du permis de conduire, doit être confirmée.</w:t>
      </w:r>
    </w:p>
    <w:p>
      <w:r>
        <w:rPr>
          <w:b/>
        </w:rPr>
        <w:t>E. 12</w:t>
      </w:r>
    </w:p>
    <w:p>
      <w:r>
        <w:t>Le recourant fait valoir qu'il justifie d'une bonne réputation n'ayant aucun antécédent et demande qu'il soit tenu compte de ses besoins professionnels.</w:t>
      </w:r>
    </w:p>
    <w:p>
      <w:r>
        <w:rPr>
          <w:b/>
        </w:rPr>
        <w:t>E. 13</w:t>
      </w:r>
    </w:p>
    <w:p>
      <w:r>
        <w:t>Après une infraction grave, le permis de conduire est retiré pour une durée minimale de trois mois (art. 16c al. 2 let. a LCR).</w:t>
      </w:r>
    </w:p>
    <w:p>
      <w:r>
        <w:t>- 7/8 - A/2379/2021</w:t>
      </w:r>
    </w:p>
    <w:p>
      <w:r>
        <w:rPr>
          <w:b/>
        </w:rPr>
        <w:t>E. 14</w:t>
      </w:r>
    </w:p>
    <w:p>
      <w:r>
        <w:t>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w:t>
      </w:r>
    </w:p>
    <w:p>
      <w:r>
        <w:rPr>
          <w:b/>
        </w:rPr>
        <w:t>E. 15</w:t>
      </w:r>
    </w:p>
    <w:p>
      <w:r>
        <w:t>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w:t>
      </w:r>
    </w:p>
    <w:p>
      <w:r>
        <w:rPr>
          <w:b/>
        </w:rPr>
        <w:t>E. 16</w:t>
      </w:r>
    </w:p>
    <w:p>
      <w:r>
        <w:t>Au vu de ce qui précède, le recours sera rejeté et la décision de l'OCV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A/2379/2021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