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JTAPI/1136/2023 vom 18. Oktober 2023</w:t>
      </w:r>
    </w:p>
    <w:p>
      <w:r>
        <w:t>GE Cour de justice, 2023-10-18, FR</w:t>
      </w:r>
    </w:p>
    <w:p>
      <w:r>
        <w:rPr>
          <w:b/>
        </w:rPr>
        <w:t xml:space="preserve">Quelle: </w:t>
      </w:r>
      <w:r>
        <w:t>https://mcp.opencaselaw.ch/entscheid/ge_gerichte_JTAPI_1136_2023</w:t>
      </w:r>
    </w:p>
    <w:p>
      <w:r>
        <w:t>FR: GE_GERICHTE JTAPI/1136/2023 du 18 octobre 2023</w:t>
      </w:r>
    </w:p>
    <w:p>
      <w:r>
        <w:t>IT: GE_GERICHTE JTAPI/1136/2023 del 18 ottobre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- 9/15 - A/330/2023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2ème éd., 2018, n. 515 p. 179).</w:t>
      </w:r>
    </w:p>
    <w:p>
      <w:r>
        <w:rPr>
          <w:b/>
        </w:rPr>
        <w:t>E. 4</w:t>
      </w:r>
    </w:p>
    <w:p>
      <w:r>
        <w:t>Saisi d’un recours, le tribunal applique le droit d’office et s’il ne peut pas aller au- delà des conclusions des parties, il n’est lié ni par les motifs invoqués par celles-ci (art. 69 al. 1 LPA), ni par leur argumentation juridique (ATA/84/2022 du 1er février 2022 consid. 3).</w:t>
      </w:r>
    </w:p>
    <w:p>
      <w:r>
        <w:rPr>
          <w:b/>
        </w:rPr>
        <w:t>E. 5</w:t>
      </w:r>
    </w:p>
    <w:p>
      <w:r>
        <w:t>Le recourant prétend que son droit d’être entendu aurait été violé, le département n’ayant pas suffisamment motivé la décision litigieuse.</w:t>
      </w:r>
    </w:p>
    <w:p>
      <w:r>
        <w:rPr>
          <w:b/>
        </w:rPr>
        <w:t>E. 6</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implique également pour l’autorité l’obligation de motiver sa décision (ATF 146 II 335 consid. 5.1). L’art. 46 al. 1 LPA fait ainsi obligation aux autorités administratives de rendre des décisions motivées. Selon une jurisprudence constante, le droit d’être entendu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w:t>
      </w:r>
    </w:p>
    <w:p>
      <w:r>
        <w:t>- 10/15 - A/330/2023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(arrêt du Tribunal fédéral 6B_468/2022 du 12 janvier 2023 consid. 1.1). L’autorité peut passer sous silence ce qui, sans arbitraire, lui paraît à l’évidence non établi ou sans pertinence. Il n’y a ainsi violation du droit d’être entendu que si elle ne satisfait pas à son devoir minimum d’examiner les problèmes pertinents (ATF 129 I 232 consid. 3.2).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7</w:t>
      </w:r>
    </w:p>
    <w:p>
      <w:r>
        <w:t>En l’espèce, la décision litigieuse est claire. Elle mentionne en effet les bases légales applicables et énonce le motif pour lequel le département a infligé l’amende et les éléments ayant conduits à fixer le montant à CHF 10’000.-. Au demeurant, la simple lecture du recours suffit à démontrer que le recourant a saisi le sens et la portée de la décision, ce qui lui a permis d’exercer son droit de recours à bon escient. Il a aussi eu l’occasion de prendre connaissance des arguments développés le 6 avril 2023 par le département et d’y répliquer, de sorte qu’une éventuelle violation de son droit d’être entendu sous l’angle d’une absence de motivation aurait amplement été réparée dans le cadre de la présente procédure. Le renvoi de la cause à l’autorité intimée constituerait ainsi une vaine formalité. Ce grief sera dès lors écarté.</w:t>
      </w:r>
    </w:p>
    <w:p>
      <w:r>
        <w:rPr>
          <w:b/>
        </w:rPr>
        <w:t>E. 8</w:t>
      </w:r>
    </w:p>
    <w:p>
      <w:r>
        <w:t>Selon l’art. 137 al. 1 LCI, est passible d’une amende administrative de CHF 100.- à 150’000.- tout contrevenant : a) à la présente loi ; b) aux règlements et arrêtés édictés en vertu de la présente loi ;</w:t>
      </w:r>
    </w:p>
    <w:p>
      <w:r>
        <w:t>- 11/15 - A/330/2023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ainsi que les cas de récidive constituent notamment des circonstances aggravantes (art. 137 al. 3 LCI).</w:t>
      </w:r>
    </w:p>
    <w:p>
      <w:r>
        <w:rPr>
          <w:b/>
        </w:rPr>
        <w:t>E. 9</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(ATA/147/2014 du 11 mars 2014 consid. 11 ; Alain MACALUSO/ Laurent MOREILLON/ Nicolas QUELOZ [éd.], Commentaire romand du Code pénal II, Art. 111-392 CP, 2017, n. 2 ad art. 292 p. 1887).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 11 mars 2014 consid. 11 et les références citées ; ATA/456/2000 du 9 août 2000 consid. 3e ; ATA/455/2000 du 9 août 2000 consid. 3e).</w:t>
      </w:r>
    </w:p>
    <w:p>
      <w:r>
        <w:rPr>
          <w:b/>
        </w:rPr>
        <w:t>E. 10</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(ATA/870/2023 du 22 août 2023 consid. 9.2 ; ATA/174/2023 du 28 février 2023 consid. 2.1.3 et les références citées).</w:t>
      </w:r>
    </w:p>
    <w:p>
      <w:r>
        <w:rPr>
          <w:b/>
        </w:rPr>
        <w:t>E. 11</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 2019 du 16 avril 2019 et les références citées).</w:t>
      </w:r>
    </w:p>
    <w:p>
      <w:r>
        <w:t>- 12/15 - A/330/2023 Il est ainsi en particulier nécessaire que le contrevenant ait commis une faute, fût- ce sous la forme d’une simple négligence (ATA/559/2021 du 25 mai 2021 consid. 7d ; ATA/13/2020 du 7 janvier 2020 consid. 7c).</w:t>
      </w:r>
    </w:p>
    <w:p>
      <w:r>
        <w:rPr>
          <w:b/>
        </w:rPr>
        <w:t>E. 12</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(ATA/719/2012 du 30 octobre 2012 consid. 20 et les références citées).</w:t>
      </w:r>
    </w:p>
    <w:p>
      <w:r>
        <w:rPr>
          <w:b/>
        </w:rPr>
        <w:t>E. 13</w:t>
      </w:r>
    </w:p>
    <w:p>
      <w:r>
        <w:t>S’agissant de la quotité de l’amende, la jurisprudence de la chambre administrative de la Cour de justice (ci-après: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(ATA/702/2023 du 27 juin 2023 consid. 6.1 ; ATA/19/2018 du 9 janvier 2018 consid. 9d confirmé par arrêt du Tribunal fédéral 1C_80/2018 du 23 mai 2019). En outre, l’administration doit faire preuve de sévérité, afin d’assurer le respect de la loi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w:t>
      </w:r>
    </w:p>
    <w:p>
      <w:r>
        <w:rPr>
          <w:b/>
        </w:rPr>
        <w:t>E. 14</w:t>
      </w:r>
    </w:p>
    <w:p>
      <w:r>
        <w:t>Enfin, l’amende doit respecter le principe de la proportionnalité garanti par l’art. 5 al. 2 Cst. (ATA/559/2021 du 25 mai 2021 consid. 7d et les références citées ; ATA/313/2017 du 21 mars 2017), lequel commande que la mesure étatique soit nécessaire et apte à atteindre le but prévu et qu’elle soit raisonnable pour la</w:t>
      </w:r>
    </w:p>
    <w:p>
      <w:r>
        <w:t>- 13/15 - A/330/2023 personne concernée (ATF 140 I 257 consid. 6.3.1 ; 140 II 194 consid. 5.8.2 ; 139 I 218 consid. 4.3).</w:t>
      </w:r>
    </w:p>
    <w:p>
      <w:r>
        <w:rPr>
          <w:b/>
        </w:rPr>
        <w:t>E. 15</w:t>
      </w:r>
    </w:p>
    <w:p>
      <w:r>
        <w:t>En l’occurrence, il convient de relever en premier lieu que le recourant n’avait pas, en date du 18 novembre 2022, procédé à la remise en état qu’il devait effectuer, ainsi que constaté par le département six jours plus tard, et cela sans avoir sollicité un nouveau délai. Partant, l’amende prononcée est justifiée dans son principe. S’agissant de sa quotité, il faut retenir que le recourant n’a effectué la remise en état requise, et encore que de manière partielle compte tenu du fait qu’il reste dans l’attente de l’issue de la DD 3______ alors qu’il n’a pas sollicité de suspension à cet égard, qu’au début de l’année 2023, soit deux ans après la décision du 8 février 2021. Ce laps de temps s’explique certes par les nombreux délais de prolongation requis et obtenus par le recourant, voire par des mauvaises conditions météorologiques comme il le soutient, mais il n’en demeure pas moins long pour exécuter des travaux de somme toute peu d’importance, étant relevé que l’infraction n’est d’ailleurs elle-même pas d’une importance considérable. Il faut également considérer que le département, ne parvenant toujours pas à faire respecter ses ordres, a fait preuve d’une certaine modération en commençant tout d’abord par infliger au recourant, par décision du 8 février 2021, une amende de CHF 5’000.-, puis, par décision du 24 septembre 2021, une amende de CHF 500.-, et enfin, par décision du 7 octobre 2022, une amende de CHF 5’000.-. Dans ces circonstances, le département pouvait retenir que la possibilité de contraindre le recourant à se soumettre à l’ordre qui lui avait été donné en février 2021 apparaissait illusoire s’il ne faisait pas l’objet d’une sanction plus sévère que celles qui avaient été jusqu’ici prononcées contre lui. Cela étant et compte tenu aussi de sa situation économique, attestée par pièces, il faut relever que l’amende litigieuse de CHF 10’000.- constitue un doublement de la précédente amende et, il ne faut pas l’oublier, sanctionne non plus les travaux entrepris de manière illicite il y a une quinzaine d’années, mais uniquement la persistance du recourant à ne pas se conformer à l’ordre de remise en état prononcé par l’autorité intimée. Dans cette mesure, il apparaît plus conforme au principe de proportionnalité que les sanctions prononcées pour ce motif à l’encontre du recourant suivent une progressivité plus modérée, en n’oubliant pas que chaque nouvelle amende s’ajoute aux précédentes et que le total des amendes joue aussi un rôle à la longue. Par conséquent, l’amende sera ramenée à CHF 8’000.-, montant conforme au principe de proportionnalité. Le recours sera très partiellement admis dans ce sens.</w:t>
      </w:r>
    </w:p>
    <w:p>
      <w:r>
        <w:rPr>
          <w:b/>
        </w:rPr>
        <w:t>E. 16</w:t>
      </w:r>
    </w:p>
    <w:p>
      <w:r>
        <w:t>Vu cette issue, un émolument réduit de CHF 600.- sera mis à la charge du recourant, dès lors qu’il n’obtient que partiellement gain de cause (art. 87 al.1 LPA et 1 et 2 du règlement sur les frais, émoluments et indemnité en procédure</w:t>
      </w:r>
    </w:p>
    <w:p>
      <w:r>
        <w:t>- 14/15 - A/330/2023 administrative du 30 juillet 1986 - RFPA - E 5 10.03). Il est couvert par l’avance de frais. Le solde de l’avance de frais, soit CHF 300.-, lui sera restitué. Une indemnité de procédure de CHF 500.-, à la charge de l’autorité intimée, sera par ailleurs allouée au recourant (art. 87 al. 2 LPA et 6 RFPA).</w:t>
      </w:r>
    </w:p>
    <w:p>
      <w:r>
        <w:t>- 15/15 - A/330/2023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