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JTAPI/1133/2024 vom 14. November 2024</w:t>
      </w:r>
    </w:p>
    <w:p>
      <w:r>
        <w:t>GE Cour de justice, 2024-11-14, FR</w:t>
      </w:r>
    </w:p>
    <w:p>
      <w:r>
        <w:rPr>
          <w:b/>
        </w:rPr>
        <w:t xml:space="preserve">Quelle: </w:t>
      </w:r>
      <w:r>
        <w:t>https://mcp.opencaselaw.ch/entscheid/ge_gerichte_JTAPI_1133_2024</w:t>
      </w:r>
    </w:p>
    <w:p>
      <w:r>
        <w:t>FR: GE_GERICHTE JTAPI/1133/2024 du 14 novembre 2024</w:t>
      </w:r>
    </w:p>
    <w:p>
      <w:r>
        <w:t>IT: GE_GERICHTE JTAPI/1133/2024 del 14 novembre 2024</w:t>
      </w:r>
    </w:p>
    <w:p>
      <w:pPr>
        <w:pStyle w:val="Heading2"/>
      </w:pPr>
      <w:r>
        <w:t>Erwägungen</w:t>
      </w:r>
    </w:p>
    <w:p>
      <w:r>
        <w:rPr>
          <w:b/>
        </w:rPr>
        <w:t>E. 9</w:t>
      </w:r>
    </w:p>
    <w:p>
      <w:r>
        <w:t>L'autorité administrative qui a pris une décision entrée en force n'est obligée de la reconsidérer que si sont réalisées les conditions de l'art. 48 al. 1 LPA.</w:t>
      </w:r>
    </w:p>
    <w:p>
      <w:r>
        <w:rPr>
          <w:b/>
        </w:rPr>
        <w:t>E. 10</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ATA/82/2022 du 1er février 2022 consid. 2a ; ATA/539/2020 du 29 mai 2020 consid. 5b).</w:t>
      </w:r>
    </w:p>
    <w:p>
      <w:r>
        <w:rPr>
          <w:b/>
        </w:rPr>
        <w:t>E. 11</w:t>
      </w:r>
    </w:p>
    <w:p>
      <w:r>
        <w:t>Une telle obligation existe également lorsque la situation du destinataire de la décision s'est notablement modifiée depuis la première décision (art. 48 al. 1 let. b LPA). Il faut entendre par là des faits nouveaux « nouveaux » ou novae véritables,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(ATA/539/2020 précité consid. 4b ; ATA/1244/2019 du 13 août 2019 consid. 5 ; ATA/830/2016 du 4 octobre 2016 consid. 2a).</w:t>
      </w:r>
    </w:p>
    <w:p>
      <w:r>
        <w:rPr>
          <w:b/>
        </w:rPr>
        <w:t>E. 12</w:t>
      </w:r>
    </w:p>
    <w:p>
      <w:r>
        <w:t>Un changement de législation peut fonder le réexamen d'une décision, à condition que l'état de fait déterminant se soit essentiellement modifié après le changement législatif (ATF 136 II 177 consid. 2.2.1).</w:t>
      </w:r>
    </w:p>
    <w:p>
      <w:r>
        <w:rPr>
          <w:b/>
        </w:rPr>
        <w:t>E. 13</w:t>
      </w:r>
    </w:p>
    <w:p>
      <w:r>
        <w:t>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La charge de la preuve relative à l'existence d'une situation de réexamen obligatoire d'une décision en force incombe à celui qui en fait la demande, ce qui implique qu'il produise d'emblée devant l'autorité qu'il saisit</w:t>
      </w:r>
    </w:p>
    <w:p>
      <w:r>
        <w:t>- 13/18 - A/680/2024 les moyens de preuve destinés à établir les faits qu'il allègue (ATA/291/2017 du 14 mars 2017 consid. 4).</w:t>
      </w:r>
    </w:p>
    <w:p>
      <w:r>
        <w:rPr>
          <w:b/>
        </w:rPr>
        <w:t>E. 14</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w:t>
      </w:r>
    </w:p>
    <w:p>
      <w:r>
        <w:rPr>
          <w:b/>
        </w:rPr>
        <w:t>E. 15</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 ; ATA/1786/2019 du 10 décembre 2019 consid. 4d). Ainsi, dans la mesure où la décision attaquée ne porte que sur la question de la recevabilité de la demande de réexamen, le recourant ne peut que contester le refus d'entrer en matière que l'autorité intimée lui a opposé, mais non invoquer le fond, des conclusions prises à cet égard n'étant pas recevables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(Jacques DUBEY/B______-Baptiste ZUFFEREY, Droit administratif général, 2014, n. 2148), ce qui n'impliquera pas nécessairement que la décision d'origine sera modifiée (Thierry TANQUEREL, op. cit., n. 1429 p. 493).</w:t>
      </w:r>
    </w:p>
    <w:p>
      <w:r>
        <w:rPr>
          <w:b/>
        </w:rPr>
        <w:t>E. 16</w:t>
      </w:r>
    </w:p>
    <w:p>
      <w:r>
        <w:t>De manière générale, le droit fédéral prévoit que le droit cantonal règle la participation financière des propriétaires fonciers à l’équipement de leur terrain (art.</w:t>
      </w:r>
    </w:p>
    <w:p>
      <w:r>
        <w:rPr>
          <w:b/>
        </w:rPr>
        <w:t>E. 19</w:t>
      </w:r>
    </w:p>
    <w:p>
      <w:r>
        <w:t>En l'espèce, la procédure a pour seul objet la conformité au droit de la décision de l'intimé du 22 janvier 2024 refusant d'entrer en matière sur la demande de reconsidération du 13 novembre 2023 formulée par les recourants à l'encontre des trois taxes d'équipement notifiées en date du 6 janvier 2021. Ainsi le contrôle juridictionnel effectué par le tribunal portera uniquement sur la question de savoir si l'intimé a estimé à juste titre que les circonstances ne s'étaient pas modifiées notablement depuis le prononcé des décisions de taxation.</w:t>
      </w:r>
    </w:p>
    <w:p>
      <w:r>
        <w:t>Les recourants font valoir l'existence d'un changement de notable des circonstances en raison de l'absence de cession du chemin de E______ au domaine public communal et de la renonciation à l'établissement d'une convention avec la commune au sujet de la taxe d'équipement, alors qu'ils auraient investi des fonds importants dans la réalisation de certains éléments d'équipement.</w:t>
      </w:r>
    </w:p>
    <w:p>
      <w:r>
        <w:t>S'il est certes vrai que depuis la notification des décisions de taxe d'équipement du 6 janvier 2021, les recourants ont tenté des négociations au sujet d'une éventuelle convention avec la commune, force est de constater que cette dernière n'a jamais donné son accord à la réalisation des travaux d'équipement réalisés par les recourants, soit la réfection du chemin, l'aménagement de l'éco-point et de la servitude de passage à pied et à cycle. Il en est allé de même du côté de l'intimé et des riverains propriétaires des quoteparts sur le chemin de E______. Les recourants, professionnels de l'immobilier, ne pouvaient ainsi ignorer qu'il n'existait aucune garantie que ces négociations aboutissent, ce qui ressort d'ailleurs de leurs échanges avec les riverains et la commune, cette dernière ne s'étant déclarée prête à signer une convention qu'en cas de cession gratuite du chemin de E______. En soi, les recourants ont pris le risque de consentir à des investissements d'équipement sur fonds privés alors que tant au stade de la notification des bordereaux litigieux jusqu'à ce jour, aucun conventionnement n'a été conclu et que la commune n'a jamais reconnu le caractère de travaux d'équipement public, de sorte que la situation du présent cas diffère de celle de l'arrêt du Tribunal fédéral 2C_1029/2016 précité et se rapproche plutôt de celle de l'arrêt de la chambre administrative</w:t>
      </w:r>
    </w:p>
    <w:p>
      <w:r>
        <w:t>- 16/18 - A/680/2024 ATA/1060/2022 ci-avant. Au surplus, il ressort de la réplique des recourants que les travaux réalisés ont été effectués de septembre à novembre 2023, soit après que la commune et les riverains aient manifesté clairement l'absence de cession au domaine public communal du chemin de E______. C'est le lieu de rappeler que selon l'art. 3A al. 6 LGZD, les seules exceptions prévues par cette loi à l'obligation de s'acquitter concernent les contributions prévues par la LEaux et les éventuelles contributions spécifiques entre les entre le propriétaire ou le superficiaire du terrain et la commune concernée conclues avec l’accord du FIE. La remise en cause d'une taxe d'équipement entrée en force, sur la base de cette dernière exception, implique forcément l'existence d'un accord entre le propriétaire ou le superficiaire et la commune, accord inexistant en l'espèce. Il convient également de prendre en compte que, conformément à l'art. 3A al. 3 LGZD rappelé plus haut, la taxe d'équipement est fixée mathématiquement en fonction de la surface brute de plancher du projet autorisé, mais ne dépend pas directement des éléments d'équipement des voies de communication nécessaires à sa réalisation, ce qui signifie que la non-réalisation de ces équipements dans le cas d'espèce ne remettrait pas non plus en cause la validité des taxes d'équipement, ni n'impliquerait qu'elles soient reconsidérées.</w:t>
      </w:r>
    </w:p>
    <w:p>
      <w:r>
        <w:t>Par ailleurs, il ressort des pièces produites que les travaux d'équipement revendiqués par les recourants constituent des éléments d'ordre privé. En effet, l'éco-point et la servitude de passage à pied et à cycle se situent sur les parcelles concernées par les projets autorisés selon les DD 1______, 2______ et 3______, mais ne concernent pas directement le chemin de E______. S'agissant en particulier de l'éco-point, cela est notamment confirmé par la teneur du courrier du 24 juillet 2023 des promoteurs adressé aux riverains indiquant que l'usage de cet aménagement serait exclusivement réservé aux habitants des futurs immeubles. De plus, la teneur de ce courrier semble indiquer que les travaux d'embellissement du chemin n'ont pas encore été réalisés, dès lors que les recourants y indiquent que les fonds alloués à cet effet ne seraient plus disponibles en l'absence de cession du chemin au domaine public communal. Les travaux liés au chemin de E______ ne concernent en définitive qu'une remise en l'état sommaire du trottoir en lien avec la réalisation des projets de construction autorisés selon les DD 1______, 2______ et 3______, conformément aux obligations découlant du droit privé, étant relevé qu'aucune de ces autorisations de construire ne prévoit de quelconques aménagements supplémentaires au niveau du chemin de E______ et qu'aucune demande d'autorisation de construire spécifique n'a été à ce jour formulée par les recourants.</w:t>
      </w:r>
    </w:p>
    <w:p>
      <w:r>
        <w:t>La question de savoir si le PLQ est respecté ou non en cas d'absence de cession à titre gratuit n'est pas déterminante s'agissant de la décision querellée, dès lors qu'à ce stade, il n'apparait pas que la situation de fait aurait évolué de manière notable. Au contraire, la situation semble plutôt identique à celle qui prévalait déjà au moment de la notification des bordereaux dont la reconsidération est demandée. Peu importe à cet égard que le chemin de E______ ne soit pas passé dans le domaine</w:t>
      </w:r>
    </w:p>
    <w:p>
      <w:r>
        <w:t>- 17/18 - A/680/2024 public communal du fait d'une prétendue passivité de la commune, qui n'a jusqu'ici pas fait usage de son droit d'expropriation. Au demeurant, les recourants, professionnels de l'immobilier, ne sauraient ignorer que le droit d'expropriation n'est exercé qu'avec retenue.</w:t>
      </w:r>
    </w:p>
    <w:p>
      <w:r>
        <w:t>Par conséquent, les bordereaux du 6 janvier 2021, entrés en force et exécutoires, ne peuvent pas faire l'objet d'une demande de reconsidération, faute de modification notable des circonstances et l'intimé était fondé à refuser d'entrer en matière sur les demande de reconsidération en question.</w:t>
      </w:r>
    </w:p>
    <w:p>
      <w:r>
        <w:rPr>
          <w:b/>
        </w:rPr>
        <w:t>E. 20</w:t>
      </w:r>
    </w:p>
    <w:p>
      <w:r>
        <w:t>En application des art. 87 al. 1 LPA et 1 et 2 du règlement sur les frais, émoluments et indemnités en procédure administrative du 30 juillet 1986 (RFPA - E 5 10.03), les recourants, qui succombent, sont condamnés, pris solidairement, au paiement d’un émolument s'élevant à CHF 1'500.- ; il est partiellement couvert par l’avance de frais de CHF 1'200.- versée à la suite du dépôt du recours. Aucune indemnité de procédure ne sera allouée à l'intimé (art. 87 al. 2 LPA ; ATA/1713/2019 du 26 novembre 2019 consid. 10).</w:t>
      </w:r>
    </w:p>
    <w:p>
      <w:r>
        <w:t>- 18/18 - A/680/2024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