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JTAPI/112/2025 vom 31. Januar 2025</w:t>
      </w:r>
    </w:p>
    <w:p>
      <w:r>
        <w:t>GE Cour de justice, 2025-01-31, FR</w:t>
      </w:r>
    </w:p>
    <w:p>
      <w:r>
        <w:rPr>
          <w:b/>
        </w:rPr>
        <w:t xml:space="preserve">Quelle: </w:t>
      </w:r>
      <w:r>
        <w:t>https://mcp.opencaselaw.ch/entscheid/ge_gerichte_JTAPI_112_2025</w:t>
      </w:r>
    </w:p>
    <w:p>
      <w:r>
        <w:t>FR: GE_GERICHTE JTAPI/112/2025 du 31 janvier 2025</w:t>
      </w:r>
    </w:p>
    <w:p>
      <w:r>
        <w:t>IT: GE_GERICHTE JTAPI/112/2025 del 31 gennaio 2025</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ATA/185/2020 du 18 février 2020 consid. 2b). La contestation ne peut excéder l'objet de la décision attaquée, c'est-à-dire les prétentions ou les rapports juridiques sur lesquels l'autorité inférieure s'est prononcée ou aurait dû se</w:t>
      </w:r>
    </w:p>
    <w:p>
      <w:r>
        <w:t>- 9/18 - A/2717/2024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(ATA/85/2022 du 1er février 2022 consid. 3a ; ATA/4418/2019 du 23 mars 2021, consid.10b).</w:t>
      </w:r>
    </w:p>
    <w:p>
      <w:r>
        <w:rPr>
          <w:b/>
        </w:rPr>
        <w:t>E. 6</w:t>
      </w:r>
    </w:p>
    <w:p>
      <w:r>
        <w:t>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(ATA/648/2016 du 26 juillet 2016 consid. 2b).</w:t>
      </w:r>
    </w:p>
    <w:p>
      <w:r>
        <w:rPr>
          <w:b/>
        </w:rPr>
        <w:t>E. 7</w:t>
      </w:r>
    </w:p>
    <w:p>
      <w:r>
        <w:t>Lorsqu’un étranger ne possède pas de droit à l'exercice d'une activité lucrative, une décision cantonale préalable concernant le marché du travail est nécessaire pour l'admettre en vue de l'exercice d'une activité lucrative (art. 40 al. 2 LEI). Dans le canton de Genève, la compétence pour rendre une telle décision est attribuée à l'OCIRT (art. 6 al. 4 du règlement d'application de la loi fédérale sur les étrangers, du 17 mars 2009 - RaLEtr - F 2 10.01). L’OCPM reçoit et traite les demandes d'autorisation d'admission pour d'autres motifs que ceux relevant de l’exercice d’une activité lucrative (art. 8 RaLEtr).</w:t>
      </w:r>
    </w:p>
    <w:p>
      <w:r>
        <w:rPr>
          <w:b/>
        </w:rPr>
        <w:t>E. 7.1</w:t>
      </w:r>
    </w:p>
    <w:p>
      <w:r>
        <w:t>; et les références citées ; ATA/1363/2020 du 22 décembre 2020 consid. 8e ; ATA/1094/2019 du 25 juin 2019 consid. 5d).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(ATA/184/2022 du 22 février 2022 consid. 8e et les références citées ; Minh Son NGUYEN/Cesla AMARELLE, Code annoté de droit des migrations, vol. 2 : LEtr, 2017, p. 145 s. et les références citées).</w:t>
      </w:r>
    </w:p>
    <w:p>
      <w:r>
        <w:rPr>
          <w:b/>
        </w:rPr>
        <w:t>E. 8</w:t>
      </w:r>
    </w:p>
    <w:p>
      <w:r>
        <w:t>En l’occurrence, la décision attaquée concerne le refus de l’OCIRT de délivrer une autorisation de séjour avec activité lucrative indépendante à B______, en application de l’art. 19 LEI. Dans leur recours, les époux A______ et B______ concluent principalement à l’annulation de cette décision et à ce qu’il soit ordonné à l’OCIRT de délivrer une autorisation de séjour non seulement en faveur du recourant, mais également en faveur de son épouse et de leur fille. Cette conclusion, en tant qu’elle concerne A______ et l’enfant E______, doit cependant être déclarée irrecevable, car exorbitante à l’objet du litige. De plus, la compétence pour se prononcer sur cette question ne relève pas de l’OCIRT, mais de l’OCPM, l’autorité intimée n’étant compétente qu’en matière de marché du travail. Il n'y a ainsi pas lieu d'examiner la situation de la famille sous l’angle de l’art. 8 CEDH, cet examen devant le cas échéant faire l'objet d'une demande propre, traitée par l'OCPM. Pour le surplus, la question de la qualité pour recourir de A______ contre la décision de refus de l’OCIRT d’octroyer une autorisation de travail pour indépendant à son époux pourra rester ouverte, ce dernier étant légitimé à recourir contre la décision dont il est le destinataire. Le recours sera donc déclaré recevable.</w:t>
      </w:r>
    </w:p>
    <w:p>
      <w:r>
        <w:rPr>
          <w:b/>
        </w:rPr>
        <w:t>E. 9</w:t>
      </w:r>
    </w:p>
    <w:p>
      <w:r>
        <w:t>A titre préalable, les recourants reprochent à l’OCIRT d’avoir violé leur droit d’être entendus en ne motivant pas l’absence d’intérêt économique pour la Suisse retenue</w:t>
      </w:r>
    </w:p>
    <w:p>
      <w:r>
        <w:t>- 10/18 - A/2717/2024 dans sa décision. Ils sollicitent en outre leur audition et la production des procès- verbaux de la séance de la commission tripartite durant laquelle la demande de B______ a été examinée.</w:t>
      </w:r>
    </w:p>
    <w:p>
      <w:r>
        <w:rPr>
          <w:b/>
        </w:rPr>
        <w:t>E. 10</w:t>
      </w:r>
    </w:p>
    <w:p>
      <w:r>
        <w:t>Garanti par l'art. 29 al. 2 Cst., le droit d'être entendu est une garantie constitutionnelle de caractère formel, dont la violation entraîne, lorsque sa réparation par l’autorité de recours n’est pas possible, l’annulation de la décision attaquée sans égard aux chances de succès du recours sur le fond (ATF 137 I 195 consid. 2.2 ; 135 I 279 consid. 2.6.1 ; 135 I 187 consid. 2.2 ; arrêts du Tribunal fédéral 8C_529/2016 du 26 octobre 2016 consid. 4.2.1 ; 5A_681/2014 du 14 avril 2015 consid. 31 ; ATA/289/ 2018 du 27 mars 2018 consid. 2b). Ce moyen doit dès lors être examiné en premier lieu (ATF 137 I 195 consid. 2.2).</w:t>
      </w:r>
    </w:p>
    <w:p>
      <w:r>
        <w:rPr>
          <w:b/>
        </w:rPr>
        <w:t>E. 11</w:t>
      </w:r>
    </w:p>
    <w:p>
      <w:r>
        <w:t>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w:t>
      </w:r>
    </w:p>
    <w:p>
      <w:r>
        <w:rPr>
          <w:b/>
        </w:rPr>
        <w:t>E. 12</w:t>
      </w:r>
    </w:p>
    <w:p>
      <w:r>
        <w:t>Par ailleurs, il ne confère pas le droit d'être entendu oralement, ni celui d'obtenir l'audition de témoins (art. 41 in fine LPA ; ATF 134 I 140 consid. 5.3 ; arrêt du Tribunal fédéral 2C_901/2014 du 27 janvier 2015 consid. 3).</w:t>
      </w:r>
    </w:p>
    <w:p>
      <w:r>
        <w:rPr>
          <w:b/>
        </w:rPr>
        <w:t>E. 13</w:t>
      </w:r>
    </w:p>
    <w:p>
      <w:r>
        <w:t>Le droit d'accès au dossier n'est pas sans limite. En effet, l'art. 26 de la loi sur l’information du public, l’accès aux documents et la protection des données personnelles du 5 octobre 2001 (LIPAD – A 2 08) prévoit une série d'exceptions au principe du droit d'accès (art. 24 al. 1 LIPAD). En particulier, les notes échangées entre es membres d’une autorité collégiale ou entre ces derniers et leurs collaborateurs (art. 26 al. 3 LIPAD) et les documents à la communication desquels le droit fédéral ou une loi cantonale fait obstacle (art. 26 al. 4 LIPAD) sont exclus du droit d’accès.</w:t>
      </w:r>
    </w:p>
    <w:p>
      <w:r>
        <w:rPr>
          <w:b/>
        </w:rPr>
        <w:t>E. 14</w:t>
      </w:r>
    </w:p>
    <w:p>
      <w:r>
        <w:t>La loi sur les commissions officielles du 18 septembre 2009 (LCOf – A 2 20) s’applique aux commissions officielles dépendant du Conseil d’Etat, de la chancellerie d’Etat ou d’un département, qui sont instituées par une loi, un règlement ou un arrêté, et dont l’activité revêt un caractère consultatif, de préavis ou décisionnel, à l’exception de l’activité juridictionnelle. Selon l'art. 15 al. 1 LCOf, toutes les séances de commission et de sous-commissions font l’objet de procès-</w:t>
      </w:r>
    </w:p>
    <w:p>
      <w:r>
        <w:t>- 11/18 - A/2717/2024 verbaux, qui ne sont pas publics. La jurisprudence retient, sur la base de l'art. 15 al. 1 LCOf, que ces procès-verbaux constituent des projets de décisions et se rapportent ainsi uniquement à la formation de l’opinion des membres de l’autorité. Ils ne peuvent dès lors pas être transmis aux parties (ATA/830/2022 du 23 août 2022 consid. 3c; ATA/940/2021 du 14 septembre 2021 consid. 5).</w:t>
      </w:r>
    </w:p>
    <w:p>
      <w:r>
        <w:rPr>
          <w:b/>
        </w:rPr>
        <w:t>E. 15</w:t>
      </w:r>
    </w:p>
    <w:p>
      <w:r>
        <w:t>Le droit d'être entendu implique aussi pour l'autorité l'obligation de motiver sa décision. Selon la jurisprudence, il suffit que l'autorité ou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 ATF 137 II 266 consid. 3.2 ; ATF 136 I 229 consid. 5.2 ; ATF 134 I 83 consid. 4.1 ; ATA/967/2016 du 15 novembre 2016 consid. 2b).</w:t>
      </w:r>
    </w:p>
    <w:p>
      <w:r>
        <w:rPr>
          <w:b/>
        </w:rPr>
        <w:t>E. 16</w:t>
      </w:r>
    </w:p>
    <w:p>
      <w:r>
        <w:t>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l’audition des recourants. Par ailleurs, si la décision litigieuse est certes succincte, elle demeure néanmoins parfaitement claire et ne nécessite pas de plus amples développements. En effet, elle mentionne la base légale applicable, soit l'art. 19 LEI, ainsi que les motifs de refus, à savoir l’absence d’intérêt économique suffisant et le fait que l’employeur n’était pas en règle avec l’AFC (impôt à la source). Ces éléments ont d’ailleurs permis aux recourants, sous la plume de leur conseil, de motiver leur recours de manière complète et, en particulier, d’y exposer de manière approfondie les raisons pour lesquelles ils estimaient qu’une autorisation devait être délivrée à B______. L'autorité intimée s'est également expliquée plus en détail, d’abord dans ses observations, puis dans sa duplique et les recourants ont eu l’occasion de répliquer. Il convient de préciser à cet égard qu'un éventuel défaut de motivation peut être réparé par la prise de position de l'autorité intimée, suite à un recours, si l'administré se voit offrir la possibilité de s'exprimer à son sujet et que l'autorité de recours peut examiner librement les questions de fait et de droit (cf. ATF 133 I 201 consid. 2.2 ; arrêt du Tribunal fédéral 1C_272/2010 du 16 mars 2011 consid. 2.6.2 ; Thierry TANQUEREL, op. cit., n. 1577 p. 522 et les arrêts cités), tel qu'en l'espèce. Dès lors, ils n’ont subi aucun préjudice procédural. Enfin, conformément à la jurisprudence précitée relative à l'art. 15 al. 1 LCOf, les recourants ne peuvent prétendre à la production des procès-verbaux de la commission, documents internes à l’administration qui n’ont pas à être remis aux parties. En conséquence, le droit d'être entendu des recourants n'a pas été violé et il ne sera pas donné suite à la demande de comparution personnelles des parties. De même,</w:t>
      </w:r>
    </w:p>
    <w:p>
      <w:r>
        <w:t>- 12/18 - A/2717/2024 la conclusion préalable en production des procès-verbaux de la commission sera rejetée.</w:t>
      </w:r>
    </w:p>
    <w:p>
      <w:r>
        <w:rPr>
          <w:b/>
        </w:rPr>
        <w:t>E. 17</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w:t>
      </w:r>
    </w:p>
    <w:p>
      <w:r>
        <w:rPr>
          <w:b/>
        </w:rPr>
        <w:t>E. 18</w:t>
      </w:r>
    </w:p>
    <w:p>
      <w:r>
        <w:t>Lorsqu’un étranger ne possède pas de droit à l’exercice d’une activité lucrative, une décision cantonale préalable concernant le marché du travail est nécessaire pour l’admettre en vue de l’exercice d’une activité lucrative (art. 40 al. 2 LEI).</w:t>
      </w:r>
    </w:p>
    <w:p>
      <w:r>
        <w:rPr>
          <w:b/>
        </w:rPr>
        <w:t>E. 19</w:t>
      </w:r>
    </w:p>
    <w:p>
      <w:r>
        <w:t>Aux termes de l’art. 83 al. 1 let. a de l'ordonnance relative à l'admission, au séjour et à l'exercice d'une activité lucrative du 24 octobre 2007 (OASA - RS 142.201), avant d'octroyer une première autorisation de séjour ou de courte durée en vue de l'exercice d'une activité lucrative, l'autorité cantonale du marché du travail décide si les conditions sont remplies pour exercer une activité lucrative salariée ou indépendante au sens des art. 18 à 25 LEI.</w:t>
      </w:r>
    </w:p>
    <w:p>
      <w:r>
        <w:rPr>
          <w:b/>
        </w:rPr>
        <w:t>E. 20</w:t>
      </w:r>
    </w:p>
    <w:p>
      <w:r>
        <w:t>La procédure d’obtention d’autorisation est réglée à Genève aux art. 6 al. 1 à 7 du règlement d'application de la loi fédérale sur les étrangers du 9 mars 2009 (RaLEtr - F 2 10.01).</w:t>
      </w:r>
    </w:p>
    <w:p>
      <w:r>
        <w:rPr>
          <w:b/>
        </w:rPr>
        <w:t>E. 21</w:t>
      </w:r>
    </w:p>
    <w:p>
      <w:r>
        <w:t>Selon l'art. 2 al. 1 OASA, qui concrétise l'art. 19 LEI (admission en vue d'une « activité lucrative indépendante »),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(cf. ATF 140 II 460 consid. 4.1.3).</w:t>
      </w:r>
    </w:p>
    <w:p>
      <w:r>
        <w:rPr>
          <w:b/>
        </w:rPr>
        <w:t>E. 22</w:t>
      </w:r>
    </w:p>
    <w:p>
      <w:r>
        <w:t>Les définitions de « l'activité lucrative indépendante » utilisées par d'autres autorités dans leurs champs de compétences (impôts, assurances sociales, etc.) n'entrent pas en considération. Est déterminante, en matière migratoire, la définition figurant à l'art. 2 OASA (cf. directives OLCP, ch. 4.1.2).</w:t>
      </w:r>
    </w:p>
    <w:p>
      <w:r>
        <w:rPr>
          <w:b/>
        </w:rPr>
        <w:t>E. 23</w:t>
      </w:r>
    </w:p>
    <w:p>
      <w:r>
        <w:t>La jurisprudence a retenu qu'une personne, seule et unique associée d'une société à responsabilité limitée exerce une activité lucrative indépendante (cf. ATAF C- 7286/2008 du 9 mai 2011 consid. 6.1). Le tribunal de céans a fait sienne cette appréciation (cf. JTAPI/1109/2013 du 9 octobre 2013). Il a également jugé qu'un associé d'une société à responsabilité limitée détenant dix-huit des vingt parts sociales apparaissait comme le principal acteur de la société, de sorte que son activité équivalait à celle d'un indépendant (JTAPI/1082/2013 du 8 octobre 2013). Il a par ailleurs considéré comme étant de nature indépendante l'activité d'une personne qui était le seul membre présent en Suisse du conseil d'une fondation et qui disposait de la signature individuelle, alors que les deux autres membres étaient</w:t>
      </w:r>
    </w:p>
    <w:p>
      <w:r>
        <w:t>- 13/18 - A/2717/2024 domiciliés à l'étranger et qu'ils ne disposaient que d'une signature collective à deux avec elle (JTAPI/1334/ 2013 du 10 décembre 2013).</w:t>
      </w:r>
    </w:p>
    <w:p>
      <w:r>
        <w:rPr>
          <w:b/>
        </w:rPr>
        <w:t>E. 24</w:t>
      </w:r>
    </w:p>
    <w:p>
      <w:r>
        <w:t>La jurisprudence fédérale a détaillé la notion d'activité lucrative indépendante sous l'angle du droit communautaire et retenu que les critères permettant de la distinguer de l'activité lucrative dépendante étaient similaires aux critères du droit suisse (ATF 140 II 460 consid. 4.1).</w:t>
      </w:r>
    </w:p>
    <w:p>
      <w:r>
        <w:rPr>
          <w:b/>
        </w:rPr>
        <w:t>E. 25</w:t>
      </w:r>
    </w:p>
    <w:p>
      <w:r>
        <w:t>En l'espèce, dès lors qu'il est l'unique actionnaire de C______ Sàrl, l’activité de B______ est déployée dans le cadre exclusif de sa propre organisation. De plus, il travaille à ses propres risques et périls, ne serait-ce que de façon indirecte, puisqu'il est le seul « propriétaire » de C______ Sàrl. Sa demande doit dès lors être analysée sous l’angle de l’exercice d’une activité lucrative indépendante (art. 19 LEI), ce qui n’est au demeurant pas contesté.</w:t>
      </w:r>
    </w:p>
    <w:p>
      <w:r>
        <w:rPr>
          <w:b/>
        </w:rPr>
        <w:t>E. 26</w:t>
      </w:r>
    </w:p>
    <w:p>
      <w:r>
        <w:t>Selon l’art. 19 LEI, un étranger peut être admis en vue de l'exercice d'une activité lucrative indépendante aux conditions suivantes : son admission sert les intérêts économiques du pays (let. a) ; les conditions financières et les exigences relatives à l'exploitation de l'entreprise sont remplies (let. b) ; il dispose d'une source de revenus suffisante et autonome (let. c) ; les conditions fixées aux art. 20 et 23 à 25 LEI sont remplies (let. d). Ces conditions doivent être remplies de manière cumulative (cf. arrêts du TAF F- 4755/2018 du 27 janvier 2021 consid. 4.3 in fine).</w:t>
      </w:r>
    </w:p>
    <w:p>
      <w:r>
        <w:rPr>
          <w:b/>
        </w:rPr>
        <w:t>E. 27</w:t>
      </w:r>
    </w:p>
    <w:p>
      <w:r>
        <w:t>En raison de sa formulation potestative, cette disposition ne confère aucun droit à la délivrance d'une telle autorisation de séjour (arrêts du Tribunal fédéral 2C_56/2016 du 20 janvier 2016 consid. 3 ; 2D_4/2015 du 23 janvier 2015 consid. 3 ; 2C_541/2012 du 11 juin 2012 consid. 4.2) et les autorités compétentes bénéficient d'un large pouvoir d'appréciation dans le cadre de son application (cf. arrêts du Tribunal administratif fédéral C-5184/2014 du 31 mars 2016 consid. 5.1 ; C-5420/2012 du 15 janvier 2014 consid. 6.2 ; ATA/1660/2019 du 12 novembre 2019 consid. 4b).</w:t>
      </w:r>
    </w:p>
    <w:p>
      <w:r>
        <w:rPr>
          <w:b/>
        </w:rPr>
        <w:t>E. 28</w:t>
      </w:r>
    </w:p>
    <w:p>
      <w:r>
        <w:t>L'octroi d'une autorisation de travail en vue de l'exercice d'une activité lucrative indépendante ne peut être admis que s'il est prouvé qu'il en résultera des retombées durables positives pour le marché suisse du travail (intérêts économiques du pays). On considère notamment que le marché suisse du travail tire durablement profit de l'implantation d'une entreprise, lorsque celle-ci contribue à la diversification de l'économie régionale dans la branche concernée, obtient ou crée des places de travail pour la main d'œuvre locale, procède à des investissements substantiels et génère de nouveaux mandats pour l'économie suisse (arrêt du Tribunal administratif fédéral F-968/2019 du 16 août 2021 consid. 5.3.1). Dans une première phase (création et édification de l'entreprise), les autorisations idoines sont délivrées pour deux ans (arrêt du Tribunal administratif fédéral C-4160/2013 du 29 septembre 2014 ; Minh Son NGUYEN/ Cesla AMARELLE, Code annoté de droit des migrations, vol. 2 : LEtr, Berne, 2017, p. 146 et les références citées ; SEM,</w:t>
      </w:r>
    </w:p>
    <w:p>
      <w:r>
        <w:t>- 14/18 - A/2717/2024 Directives et commentaires, Domaine des étrangers, Séjour avec activité lucrative [Chapitre 4], 2013, état au 1er janvier 2025 [ci-après : directives du SEM], ch. 4.3.1, 4.7.2.1 et 4.7.2.2).</w:t>
      </w:r>
    </w:p>
    <w:p>
      <w:r>
        <w:rPr>
          <w:b/>
        </w:rPr>
        <w:t>E. 29</w:t>
      </w:r>
    </w:p>
    <w:p>
      <w:r>
        <w:t>Dans un arrêt du 22 février 2022, la chambre administrative de la Cour de justice (ci-après : la chambre administrative) a retenu que les prévisions d’emploi de six personnes à l’horizon 2023 ne pouvaient être considérées comme remplissant la condition de création de places pour la main-d'œuvre locale (ATA/184/2022, consid. 8.g).</w:t>
      </w:r>
    </w:p>
    <w:p>
      <w:r>
        <w:rPr>
          <w:b/>
        </w:rPr>
        <w:t>E. 30</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w:t>
      </w:r>
    </w:p>
    <w:p>
      <w:r>
        <w:rPr>
          <w:b/>
        </w:rPr>
        <w:t>E. 31</w:t>
      </w:r>
    </w:p>
    <w:p>
      <w:r>
        <w:t>Selon les directives établies par le SEM, qui ne lient pas le juge mais dont celui-ci peut tenir compte pour assurer une application uniforme de la loi envers chaque administré pour autant qu'elles respectent le sens et le but de la norme applicable (arrêt du Tribunal administratif fédéral F-968/2019 du 16 août 2021 consid. 5.4.2 ; ATA/1198/2021 du 9 novembre 2021 consid. 7b), lors de l’appréciation du cas,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(directives du SEM, ch. 4.3.1; arrêt du Tribunal administratif</w:t>
      </w:r>
    </w:p>
    <w:p>
      <w:r>
        <w:t>- 15/18 - A/2717/2024 fédéral F-4226/ 2017 du 8 octobre 2019 consid. 4.5.1 ; ATA/1198/2021 du 9 novembre 2021 consid. 7b).</w:t>
      </w:r>
    </w:p>
    <w:p>
      <w:r>
        <w:rPr>
          <w:b/>
        </w:rPr>
        <w:t>E. 32</w:t>
      </w:r>
    </w:p>
    <w:p>
      <w:r>
        <w:t>Afin de permettre à l'autorité d'examiner les conditions financières et les exigences liées à l'exploitation de l'entreprise, les demandes doivent être motivées et accompagnées des documents conformément à la liste de vérification des annexes à fournir (cf. directives du SEM, ch. 4.8.11)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sont à joindre (directives du SEM, ch. 4.7.2.3). L’autorisation doit également s’inscrire dans les limites du contingent fixé par le Conseil fédéral (art. 20 LEI), selon un nombre maximum fixé dans l’annexe 2 OASA, à savoir 91 permis B pour 2024 et 92 permis B pour 2025.</w:t>
      </w:r>
    </w:p>
    <w:p>
      <w:r>
        <w:rPr>
          <w:b/>
        </w:rPr>
        <w:t>E. 33</w:t>
      </w:r>
    </w:p>
    <w:p>
      <w:r>
        <w:t>En l’espèce, l'analyse à laquelle a procédé l'OCIRT, qui dispose en la matière d'un large pouvoir d'appréciation, n'apparaît pas fondée sur des éléments dépourvus de pertinence, négligeant des facteurs décisifs ou guidée par une appréciation insoutenable des circonstances, que ce soit dans son approche ou dans son résultat. En particulier, sous l'angle de l'art 19 LEI, l'autorité intimée a retenu à juste titre que les arguments développés par les recourants étaient insuffisants pour permettre de considérer que l’admission de la demande servirait les intérêts économiques helvétiques au sens de la loi et de la jurisprudence. Tout d’abord, il n’a pas été démontré que l’activité du recourant au sein de de sa société - soit en l’occurrence l'exploitation du restaurant turc « D______ » - revêtirait une originalité particulière dans le paysage économique genevois et contribuerait ainsi à sa diversification. Aucun élément au dossier ne permet d'affirmer que l'offre actuelle serait insuffisante à Genève dans ce domaine d'activité, la recherche effectuée par l’OCIRT auprès du registre du commerce en utilisant le terme « restaurant » démontrant au contraire qu'il existe déjà pléthore d’entreprises actives dans le domaine de la restauration à Genève. Il en va de même du nombre de restaurants spécialisés dans la cuisine turque. Par conséquent, faute pour les recourants d’avoir démontré l’existence d’une réelle demande en lien avec l’activité et les services qu’elle entend proposer, respectivement développer, le tribunal retiendra que ceux-ci sont déjà fournis en suffisance sur le territoire genevois. La condition de la création de places de travail ne paraît pas non plus réalisée. Les recourants ont indiqué que la société employait six personnes et qu’elle souhaitait engager quatre personnes supplémentaires à l’horizon 2025/2026. Or, comme cela ressort de la jurisprudence précitée, de telles prévisions sont modestes et</w:t>
      </w:r>
    </w:p>
    <w:p>
      <w:r>
        <w:t>- 16/18 - A/2717/2024 insuffisantes pour permettre l'octroi d’une autorisation avec activité lucrative indépendante dans le canton de Genève, notamment en raison de l'exiguïté du contingent cantonal. On ne saurait dès lors considérer que l'activité de la société et de B______ permettrait la création d'un nombre d'emplois significatif qui aurait des retombées positives et durables sur le marché suisse du travail. Par ailleurs, les recourants ne sont pas parvenus à démontrer que les activités déployées permettraient de générer de nouveaux mandats pour l'économie suisse, étant souligné que les retombées fiscales de l’activité de la société et l’imposition des recourants sont irrelevantes, la soumission des particuliers et entreprises aux taxes fiscales étant une obligation légale qui s’impose à chaque entité/personne concernée. Il doit pour le surplus être relevé que les investissements déjà effectués ne confèrent aucun droit à obtenir une nouvelle autorisation de séjour avec activité lucrative en Suisse (art. 6 al. 2 OASA) et ce, quel que soit le montant de l’investissement concerné. S'agissant du chiffre d'affaires prévisionnel, les montants présentés à l’autorité intimée, à savoir CHF 1’330'225.- pour 2024, CHF 1'596'270.- pour 2025 et CHF 1'755'897.- pour 2026, sont à nouveau insuffisants pour reconnaître un intérêt économique au sens de l'art. 19 LEI, compte tenu notamment de l'exiguïté du contingent cantonal. En tout état, l’existence de retombées économiques positives pour les recourants ne suffit pas encore à considérer qu'elles le sont également pour l'économie suisse. En conclusion, la délivrance du permis requis servirait en réalité les intérêts privés des recourants, en particulier ceux du recourant, actionnaire unique de C______ Sàrl, et non pas les intérêts économiques de la Suisse, conformément à l'exigence de l'art. 19 let. a LEI. En effet, il n'apparaît pas qu'il en résulterait des retombées durables positives pour le marché suisse du travail ou que celui-ci tirerait durablement profit de l'admission de B______ par sa contribution à la diversification de l'économie régionale dans la branche concernée, la création de places de travail pour la main-d’œuvre locale, des investissements substantiels et de nouveaux mandats pour l'économie helvétique.</w:t>
      </w:r>
    </w:p>
    <w:p>
      <w:r>
        <w:rPr>
          <w:b/>
        </w:rPr>
        <w:t>E. 34</w:t>
      </w:r>
    </w:p>
    <w:p>
      <w:r>
        <w:t>La première condition cumulative de l'art. 19 LEI n'étant pas réalisée, il n'est pas nécessaire d'examiner les autres conditions de cette disposition, ni les autres arguments des recourants, étant rappelé que, compte tenu de l'exiguïté des contingents du canton de Genève, la commission tripartite est contrainte de ne retenir que les demandes qui se démarquent par un fort intérêt économique, ce qui n'est pas le cas en l'espèce. Pour le surplus, il sera rappelé que, même si C______ Sàrl a négocié un arrangement de paiement, l’AFC a émis un préavis défavorable à la demande, les paiements de l’impôt à la source n’étant pas encore à jour.</w:t>
      </w:r>
    </w:p>
    <w:p>
      <w:r>
        <w:rPr>
          <w:b/>
        </w:rPr>
        <w:t>E. 35</w:t>
      </w:r>
    </w:p>
    <w:p>
      <w:r>
        <w:t>Le recourant se plaint également d'une violation de sa liberté économique au sens de l'art. 27 Cst.</w:t>
      </w:r>
    </w:p>
    <w:p>
      <w:r>
        <w:t>- 17/18 - A/2717/2024</w:t>
      </w:r>
    </w:p>
    <w:p>
      <w:r>
        <w:rPr>
          <w:b/>
        </w:rPr>
        <w:t>E. 36</w:t>
      </w:r>
    </w:p>
    <w:p>
      <w:r>
        <w:t>Selon la jurisprudence, dans la mesure où un travailleur indépendant étranger n'a droit à aucune autorisation de séjour en vertu de la législation fédérale ou d'un traité international, comme en l'espèce, il ne peut se plaindre de la violation de l'art. 27 Cst. (ATF 131 I 223 consid. 1.1 et les références citées ; arrêt du Tribunal fédéral 2D_62/2015 du 14 octobre 2015 consid. 3). Ce grief sera dès lors rejeté.</w:t>
      </w:r>
    </w:p>
    <w:p>
      <w:r>
        <w:rPr>
          <w:b/>
        </w:rPr>
        <w:t>E. 37</w:t>
      </w:r>
    </w:p>
    <w:p>
      <w:r>
        <w:t>En dernier lieu, et comme déjà dit supra, concernant les éléments avancés en lien avec la situation administrative de la famille SUN, il convient de rappeler que l'objet du litige porte sur le refus de l'OCIRT de délivrer une autorisation de séjour à l’année avec activité lucrative (permis B) à B______. Il n’y a donc pas lieu d’examiner ici la situation des autres membres de sa famille, cet examen devant, le cas échéant, faire l'objet d'une demande d’autorisation de séjour propre, traitée par l’OCPM.</w:t>
      </w:r>
    </w:p>
    <w:p>
      <w:r>
        <w:rPr>
          <w:b/>
        </w:rPr>
        <w:t>E. 38</w:t>
      </w:r>
    </w:p>
    <w:p>
      <w:r>
        <w:t>Au vu de ce qui précède, l'appréciation que l'autorité intimée a faite de la situation des recourants ne prête aucunement flanc à la critique. Dans ces conditions, le tribunal, qui doit faire preuve de retenue et respecter la latitude de jugement conférée à l'OCIRT, ne saurait en corriger le résultat en fonction d'une autre conception, sauf à statuer en opportunité, ce que la loi lui interdit de faire (art. 61 al. 2 LPA ; cf. aussi ATF 140 I 201 consid. 6.1 et les références citées).</w:t>
      </w:r>
    </w:p>
    <w:p>
      <w:r>
        <w:rPr>
          <w:b/>
        </w:rPr>
        <w:t>E. 39</w:t>
      </w:r>
    </w:p>
    <w:p>
      <w:r>
        <w:t>En conclusion, entièrement mal fondé, le recours sera rejeté et la décision contestée confirmée.</w:t>
      </w:r>
    </w:p>
    <w:p>
      <w:r>
        <w:rPr>
          <w:b/>
        </w:rPr>
        <w:t>E. 40</w:t>
      </w:r>
    </w:p>
    <w:p>
      <w:r>
        <w:t>En application des art. 87 al. 1 LPA et 1 et 2 du règlement sur les frais, émoluments et indemnités en procédure administrative du 30 juillet 1986 (RFPA - E 5 10.03), les recourants qui succombent, sont condamnés au paiement d’un émolument s'élevant à CHF 500.- ; il est couvert par l’avance de frais versée à la suite du dépôt du recours. Vu l’issue du litige, aucune indemnité de procédure ne sera allouée (art. 87 al. 2 LPA).</w:t>
      </w:r>
    </w:p>
    <w:p>
      <w:r>
        <w:rPr>
          <w:b/>
        </w:rPr>
        <w:t>E. 41</w:t>
      </w:r>
    </w:p>
    <w:p>
      <w:r>
        <w:t>En vertu des art. 89 al. 2 et 111 al. 2 de la loi sur le Tribunal fédéral du 17 juin 2005 (LTF - RS 173.110), le présent jugement sera communiqué au secrétariat d'État aux migrations.</w:t>
      </w:r>
    </w:p>
    <w:p>
      <w:r>
        <w:t>- 18/18 - A/2717/2024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