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JTAPI/1123/2024 vom 13. November 2024</w:t>
      </w:r>
    </w:p>
    <w:p>
      <w:r>
        <w:t>GE Cour de justice, 2024-11-13, FR</w:t>
      </w:r>
    </w:p>
    <w:p>
      <w:r>
        <w:rPr>
          <w:b/>
        </w:rPr>
        <w:t xml:space="preserve">Quelle: </w:t>
      </w:r>
      <w:r>
        <w:t>https://mcp.opencaselaw.ch/entscheid/ge_gerichte_JTAPI_1123_2024</w:t>
      </w:r>
    </w:p>
    <w:p>
      <w:r>
        <w:t>FR: GE_GERICHTE JTAPI/1123/2024 du 13 novembre 2024</w:t>
      </w:r>
    </w:p>
    <w:p>
      <w:r>
        <w:t>IT: GE_GERICHTE JTAPI/1123/2024 del 13 novembre 2024</w:t>
      </w:r>
    </w:p>
    <w:p>
      <w:pPr>
        <w:pStyle w:val="Heading2"/>
      </w:pPr>
      <w:r>
        <w:t>Erwägungen</w:t>
      </w:r>
    </w:p>
    <w:p>
      <w:r>
        <w:rPr>
          <w:b/>
        </w:rPr>
        <w:t>E. 1</w:t>
      </w:r>
    </w:p>
    <w:p>
      <w:r>
        <w:t>L’art. 6A al. 1 de la loi d’application de la législation fédérale sur la circulation routière du 18 décembre 1987 (LaLCR - H 1 05) prévoit que les réglementations</w:t>
      </w:r>
    </w:p>
    <w:p>
      <w:r>
        <w:t>- 8/14 - A/2504/2024 locales du trafic édictées pour une durée supérieure à soixante jours ou se répétant régulièrement peuvent faire l’objet d’un recours auprès du Tribunal administratif de première instance.</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également que son auteur dispose de la qualité pour recourir.</w:t>
      </w:r>
    </w:p>
    <w:p>
      <w:r>
        <w:rPr>
          <w:b/>
        </w:rPr>
        <w:t>E. 4</w:t>
      </w:r>
    </w:p>
    <w:p>
      <w:r>
        <w:t>À teneur de l’art. 60 al. 1 let. b LPA, a qualité pour recourir toute personne qui est touchée directement par une décision et a un intérêt personnel digne de protection à ce qu’elle soit annulée ou modifiée.</w:t>
      </w:r>
    </w:p>
    <w:p>
      <w:r>
        <w:rPr>
          <w:b/>
        </w:rPr>
        <w:t>E. 5</w:t>
      </w:r>
    </w:p>
    <w:p>
      <w:r>
        <w:t>Le recourant doit ainsi avoir un intérêt pratique à l’admission du recours, soit que cette admission soit propre à lui éviter de subir un préjudice de nature économique, idéale, matérielle ou autre que la décision attaquée lui occasionnerait (ATF 138 II 162 consid. 2.1.2). Cet intérêt digne de protection ne doit pas nécessairement être de nature juridique, un intérêt de fait étant suffisant, tandis qu’un intérêt purement théorique à la solution d’un problème est insuffisant (ATF 144 I 43 consid. 2.1 ; arrêt du Tribunal fédéral 2C_472/2021 du 1er mars 2022 consid. 5.4). Le recours d’un particulier formé dans l’intérêt général, dans l’intérêt de tiers ou qui tendent seulement à une application correcte du droit est, partant, irrecevable (ATF 144 I 43 consid. 2.1 ; 137 II 40 consid. 2.3 ; arrêt du Tribunal fédéral 2C_456/2023 du 23 juillet 2024 consid. 2.6.1 destiné à publication).</w:t>
      </w:r>
    </w:p>
    <w:p>
      <w:r>
        <w:rPr>
          <w:b/>
        </w:rPr>
        <w:t>E. 6</w:t>
      </w:r>
    </w:p>
    <w:p>
      <w:r>
        <w:t>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 en revanche, l’intérêt n’est pas jugé suffisant lorsque le trajet n’est effectué que de manière occasionnelle (ATF 136 II 539 consid.1.1 ; arrêt du Tribunal fédéral 1C_615/2021 du 15 mars 2024 consid. 1.1, destiné à publication). Le Tribunal fédéral a admis la qualité pour recourir de particuliers se plaignant d’un rallongement des trajets de l’ordre de 2 minutes 30 secondes pour accéder à leurs propriétés (arrêt 1C_300/2018 du 8 janvier 2019 consid. 1 et 4).</w:t>
      </w:r>
    </w:p>
    <w:p>
      <w:r>
        <w:rPr>
          <w:b/>
        </w:rPr>
        <w:t>E. 7</w:t>
      </w:r>
    </w:p>
    <w:p>
      <w:r>
        <w:t>Il incombe au recourant d’alléguer les faits propres à fonder sa qualité pour agir lorsqu’ils ne ressortent pas à l’évidence de la décision attaquée ou du dossier en cause (ATF 133 II 249 consid. 1.1 ; arrêt du Tribunal fédéral 1C_112/2019 du 3 décembre 2019 consid. 3.1.3), de prouver qu’il est atteint par la décision et de rendre vraisemblable que l’annulation ou la modification de la décision peut influencer sa situation de fait ou de droit (ATF 123 II 115 consid. 2a).</w:t>
      </w:r>
    </w:p>
    <w:p>
      <w:r>
        <w:rPr>
          <w:b/>
        </w:rPr>
        <w:t>E. 8</w:t>
      </w:r>
    </w:p>
    <w:p>
      <w:r>
        <w:t>En l’espèce, à la lumière des jurisprudences susmentionnées et du fait que le recourant empruntait régulièrement la rampe du B______, l’arrêté litigieux lui</w:t>
      </w:r>
    </w:p>
    <w:p>
      <w:r>
        <w:t>- 9/14 - A/2504/2024 interdisant d’y circuler sur la voie descendante lui cause des inconvénients qu’il convient à l’évidence de qualifier de sensibles, nonobstant les explications du DSM. En effet, même si les trajets supplémentaires à parcourir sont inférieurs à 1 km, ils se feront sur des axes accueillant un trafic important et sur lesquels plusieurs feux de circulation sont positionnés, de sorte que le temps de déplacement du recourant, durant les heures de pointe, s’allongera vraisemblablement de plus de 2 minutes 30 secondes par rapport au temps nécessaire pour descendre la rampe du B______. Le recourant dispose ainsi de la qualité pour recourir.</w:t>
      </w:r>
    </w:p>
    <w:p>
      <w:r>
        <w:rPr>
          <w:b/>
        </w:rPr>
        <w:t>E. 9</w:t>
      </w:r>
    </w:p>
    <w:p>
      <w:r>
        <w:t>L’admission de la qualité pour recourir ne signifie toutefois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(ATA/257/2024 du 27 février 2024 consid. 2.5 à 2.9 ; ATA/85/2022 du 1er février 2022 consid. 5b). Il doit en outre se trouver dans le champ de protection des dispositions dont il allègue la violation et être touché par les effets prétendument illicites de la construction ou de l’installation litigieuse (ATF 121 I 267 consid. 2 et les références citées ; arrêts du Tribunal fédéral 1P.282/2005 du 7 juillet 2005 consid. 1 ; 1P.292/2004 du 29 juillet 2004 consid. 1.3 ; ATA/801/2014 du</w:t>
      </w:r>
    </w:p>
    <w:p>
      <w:r>
        <w:rPr>
          <w:b/>
        </w:rPr>
        <w:t>E. 14</w:t>
      </w:r>
    </w:p>
    <w:p>
      <w:r>
        <w:t>À Genève, l’art. 2 al. 1 LaLCR prévoit que le département chargé des transports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w:t>
      </w:r>
    </w:p>
    <w:p>
      <w:r>
        <w:rPr>
          <w:b/>
        </w:rPr>
        <w:t>E. 15</w:t>
      </w:r>
    </w:p>
    <w:p>
      <w:r>
        <w:t>Selon l’art. 107 al. 5 de l’ordonnance sur la signalisation routière du 5 septembre 1979 (OSR - RS 741.21), qui rappelle le principe de la proportionnalité en matière de réglementation et de restriction de trafic, on optera parmi les mesures devant nécessairement être prises en ce domaine pour celle qui atteint son but en restreignant le moins possible la circulation, en d’autres termes pour celle qui se trouve dans un rapport raisonnable avec le but recherché et n’outrepasse pas le cadre qui lui est donné (arrêt du Tribunal fédéral 1C_442/2020 du 4 mars 2021 consid. 6.1). Les cantons peuvent ainsi adopter toutes les mesures que les prescriptions fédérales sur la circulation routière mettent à leur disposition et qui sont admissibles selon les principes, posés à l’art. 107 al. 5 OSR, de nécessité et de proportionnalité (arrêts du Tribunal fédéral 1C_558/2008 du 28 juillet 2009 consid. 2.2 ; 2A.23/2006 du 23 mai 2006 consid. 3.1 cité in JdT 2007 I p. 490). Seraient arbitraires les mesures qui ne seraient pas fondées sur des motifs objectifs sérieux, seraient dépourvues de sens et non raisonnablement justifiées par la</w:t>
      </w:r>
    </w:p>
    <w:p>
      <w:r>
        <w:t>- 12/14 - A/2504/2024 situation à régler, par exemple par des motifs de sécurité ou par d’autres raisons techniques (André BUSSY/Baptiste RUSCONI/Yvan JEANNERET/André KUHN/Cédric MIZEL/Christoph MÜLLER, Code suisse de la circulation routière commenté, 4ème éd., 2015, n. 4.4.1 ad art. 3 LCR p. 36 et les arrêts cités). Il ne suffit pas qu’une autre solution paraisse concevable, voire préférable, pour que la décision soit annulée ; il faut qu’elle se révèle arbitraire non seulement dans ses motifs, mais aussi dans son résultat (ATF 148 III 95 consid. 4.1 ; 143 IV 500 consid. 1.1 ; arrêt du Tribunal fédéral 1C_494/2023 du 2 février 2024 consid. 3.1).</w:t>
      </w:r>
    </w:p>
    <w:p>
      <w:r>
        <w:rPr>
          <w:b/>
        </w:rPr>
        <w:t>E. 16</w:t>
      </w:r>
    </w:p>
    <w:p>
      <w:r>
        <w:t>En l’espèce, il sied en premier lieu de noter que la rampe du B______ appartient au domaine public communal et fait partie du réseau de quartier structurant. Partant, le DSM est compétent en matière de gestion de la circulation, ce qui n’est, à juste titre, pas contesté. La limitation de trafic litigieuse constitue une interdiction à la circulation sur une voie de circulation qui n’est pas ouverte au grand transit telle que prévue à l’art. 3 al. 3 LCR. Par conséquent, et conformément à la jurisprudence susmentionnée, le DSM est libre de l’édicter, n’étant limitée dans ce domaine que par le respect des principes constitutionnels, dont les interdictions de l’arbitraire et de l’inégalité de traitement. À cet égard, le tribunal notera, d’une part, que l’arrêté litigieux ne peut à l’évidence pas être qualifié d’arbitraire. En effet, il a été adopté après différentes mesures d’essai ainsi qu’une enquête publique, dans le respect de la procédure prévue par les art. 4 à 6 LaLCR. Il s’insère en outre dans la marge de manœuvre considérable dont dispose le DSM lors du prononcé de restriction de circulation du type de celle dont il est question ici, laquelle d’ailleurs est liée à des pesées d’intérêts complexes. Le fait que la mesure litigieuse n’impacte pas les riverains ou les personnes situées à proximité d’une manière parfaitement identique n’implique de plus pas que le DSM ait excédé ou abusé de son pouvoir d’appréciation. Le choix final du DSM apparait au demeurant parfaitement justifié, au vu des explications qu’il a fournies. D’autre part, force est de constater que la situation du recourant, qui se plaint de « discrimination », n’est pas semblable à celles des habitants ayant été mis au bénéfice d’une dérogation à l’interdiction de circuler sur la voie descendante de la rampe du B______ dans le cadre de l’arrêté litigieux et étant ainsi autorisés à emprunter cette voie de circulation. En effet, la dérogation a été accordé aux habitants des logements ayant un accès direct à la rampe du B______, ce qui n’est pas le cas du recourant qui réside sur le haut du chemin des G______ et qui accède à son parking par le chemin de la I______. Il ne peut par conséquent exigé d’être traité de manière identique. Il ne subit ainsi aucune « discrimination », terme employé par le recourant pour désigner, en fait, une inégalité de traitement. En particulier, il n’y a pas d’inégalité selon les situations socio-économiques des intéressés ; comme rappelé par le département, le fait que les propriétaires domiciliés au chemin des G______ soient autorisés à emprunter la rampe du B______ ne résulte pas du fait qu’ils soient propriétaires de leurs logements, mais</w:t>
      </w:r>
    </w:p>
    <w:p>
      <w:r>
        <w:t>- 13/14 - A/2504/2024 du fait que le chemin des G______ est barré et que leur seul accès à leur parcelle passe par ladite rampe. Enfin, le fait que certains des habitants de logements ayant un accès direct à la rampe du B______ n’ont pas été inclus dans la liste des ayants droit autorisés à emprunter la voie descendante de la rampe du B______ n’impacte nullement la situation du recourant, lequel ne peut en tout état pas se plaindre d’une inégalité de traitement qui ne le concerne pas personnellement.</w:t>
      </w:r>
    </w:p>
    <w:p>
      <w:r>
        <w:rPr>
          <w:b/>
        </w:rPr>
        <w:t>E. 17</w:t>
      </w:r>
    </w:p>
    <w:p>
      <w:r>
        <w:t>Au vu de ce qui précède, le recours sera rejeté et l’arrêté litigieux confirmé.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900.- ; il est partiellement couvert par l’avance de frais de CHF 500.- versée à la suite du dépôt du recours. Vu l’issue du litige, aucune indemnité de procédure ne sera allouée (art. 87 al. 2 LPA).</w:t>
      </w:r>
    </w:p>
    <w:p>
      <w:r>
        <w:t>- 14/14 - A/2504/2024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