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JTAPI/1122/2024 vom 13. September 2024</w:t>
      </w:r>
    </w:p>
    <w:p>
      <w:r>
        <w:t>GE Cour de justice, 2024-09-13, FR</w:t>
      </w:r>
    </w:p>
    <w:p>
      <w:r>
        <w:rPr>
          <w:b/>
        </w:rPr>
        <w:t xml:space="preserve">Quelle: </w:t>
      </w:r>
      <w:r>
        <w:t>https://mcp.opencaselaw.ch/entscheid/ge_gerichte_JTAPI_1122_2024</w:t>
      </w:r>
    </w:p>
    <w:p>
      <w:r>
        <w:t>FR: GE_GERICHTE JTAPI/1122/2024 du 13 septembre 2024</w:t>
      </w:r>
    </w:p>
    <w:p>
      <w:r>
        <w:t>IT: GE_GERICHTE JTAPI/1122/2024 del 13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w:t>
      </w:r>
    </w:p>
    <w:p>
      <w:r>
        <w:t>- 9/12 - A/903/2024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w:t>
      </w:r>
    </w:p>
    <w:p>
      <w:r>
        <w:rPr>
          <w:b/>
        </w:rPr>
        <w:t>E. 6</w:t>
      </w:r>
    </w:p>
    <w:p>
      <w:r>
        <w:t>En l'espèce, le litige se limite à examiner la décision querellée en tant qu'elle concerne uniquement le bâtiment n° 2. En effet, s'agissant du bâtiment n° 1, il s'agit d'une mesure d'exécution, non sujet à recours (art. 59 let. b LPA), ce que le recourant ne conteste au demeurant pas. Au fond, le recourant ne prétend pas que l'ordre de remise en état au sujet du bâtiment n° 2 serait infondé. Il fait cependant valoir qu'en l'état, en raison de la présence de la société G______, l'exécution de l'ordre de remise en état serait impossible. Il indique aussi qu'il entreprendra les démarches nécessaires une fois les locaux évacués. En définitive, le litige ne porte ainsi pas sur le bien-fondé de l'ordre de remise en état s'agissant du bâtiment n° 2, mais uniquement sur le délai d'exécution, de sorte que le tribunal se contentera d'examiner uniquement cet élément.</w:t>
      </w:r>
    </w:p>
    <w:p>
      <w:r>
        <w:rPr>
          <w:b/>
        </w:rPr>
        <w:t>E. 7</w:t>
      </w:r>
    </w:p>
    <w:p>
      <w:r>
        <w:t>Un délai de remise en état ne saurait par nature être fixé de manière abstraite, puisqu'il s'agit, tout en soumettant la personne concernée à une certaine contrainte de temps, de déterminer de manière adéquate (par application du principe de proportionnalité) le temps dont elle a besoin a minima pour se mettre en règle en faisant preuve de toute la diligence que l'on peut attendre d'elle. Il en découle que l'ampleur et la nature de la remise en état doit conduire l'autorité intimée à une appréciation au cas par cas, en prenant en considération, de manière tout à fait concrète, les difficultés auxquelles la personne concernée risque d'être confrontée, notamment sur le plan conjoncturel (JTAPI/178/2022 du 24 février 2022 consid. 16).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w:t>
      </w:r>
    </w:p>
    <w:p>
      <w:r>
        <w:t>- 10/12 - A/903/2024</w:t>
      </w:r>
    </w:p>
    <w:p>
      <w:r>
        <w:rPr>
          <w:b/>
        </w:rPr>
        <w:t>E. 8</w:t>
      </w:r>
    </w:p>
    <w:p>
      <w:r>
        <w:t>Le principe de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rPr>
          <w:b/>
        </w:rPr>
        <w:t>E. 9</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Elle réserve expressément le droit des tiers (art. 3 al. 6 LCI ; ATA/638/2015 du 16 juin 2015; ATA/752/2014 du 23 septembre 2014; ATA/719/2013 du 29 octobre 2013).</w:t>
      </w:r>
    </w:p>
    <w:p>
      <w:r>
        <w:rPr>
          <w:b/>
        </w:rPr>
        <w:t>E. 10</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rPr>
          <w:b/>
        </w:rPr>
        <w:t>E. 11</w:t>
      </w:r>
    </w:p>
    <w:p>
      <w:r>
        <w:t>En l'espèce, il sera d'emblée relevé qu'il ne s'agit pas pour le tribunal de céans d'examiner des questions directement liées au droit du bail, notamment la validité du contrat, ses effets ou encore de déterminer son terme. Il s'agit uniquement d'examiner l'impact éventuel de telles procédures parallèles sur les possibilités concrètes du recourant de se conformer à l'ordre de remise en état litigieux, en prenant notamment en considération la diligence qui peut et doit être attendue de ce dernier. Il ne faut en effet pas perdre de vue que l'ordre juridique suisse ne saurait être envisagé de manière totalement indépendante en fonction des domaines du droit touché ou des compétences des instances judiciaires, sauf à risquer de prononcer des décisions contradictoires ou dont l'exécution s'avérerait impossible pour un administré en raison de conflits entre obligations juridiques distinctes. À cet égard, le recourant a exposé, preuves à l'appui que le TBL, dans son jugement du 4 mars 2024, a jugé que le contrat qui le liait avec son locataire présent dans le</w:t>
      </w:r>
    </w:p>
    <w:p>
      <w:r>
        <w:t>- 11/12 - A/903/2024 bâtiment n° 2, était résilié à compter du 31 décembre 2025. Si ledit jugement est certes postérieur à la décision querellée, il n'empêche que les démarches en ce sens ont manifestement débuté avant le prononcé de la décision. Nonobstant la question de l'issue de la procédure de recours intentée par le recourant contre ce jugement, force est de constater que ce dernier ne peut pas, à ce stade, procéder à l'expulsion du locataire et, partant, à la démolition du bâtiment. En tous les cas, le recourant s'est déclaré prêt à procéder à la remise en état, une fois que la situation le lui permettrait. Il n'y a à ce stade pas de raison de douter de l'intention du recourant, dès lors qu'il s'est conformé à l'ordre de remise en état concernant le bâtiment n° 1, une fois le locataire évacué. Dans cette mesure, on peut raisonnablement admettre qu'une fois le bâtiment n° 2 libéré, le recourant se conformera à la décision querellée s'agissant du bâtiment n° 2, au plus tard à l'échéance du bail. Par conséquent, vu les circonstances du cas d'espèce, il appert qu'obliger le recourant à se conformer immédiatement à la décision querellée, alors qu'il ne peut pas le faire en raison d'obligations s'imposant à lui en vertu du droit privé, est disproportionné. Il convient dès lors d'annuler la décision litigieuse en ce sens qu'elle exige la remise en état immédiate de la parcelle concernant le bâtiment n° 2 et de renvoyer le dossier au département pour qu'il détermine un nouveau délai d'exécution raisonnable pour que le recourant s'exécute, étant rappelé que la validité matérielle de la décision s'agissant des aspects liés au bâtiment n° 2 n'est pas remise en cause.</w:t>
      </w:r>
    </w:p>
    <w:p>
      <w:r>
        <w:rPr>
          <w:b/>
        </w:rPr>
        <w:t>E. 12</w:t>
      </w:r>
    </w:p>
    <w:p>
      <w:r>
        <w:t>Le recours sera ainsi admis et le dossier renvoyé au département.</w:t>
      </w:r>
    </w:p>
    <w:p>
      <w:r>
        <w:rPr>
          <w:b/>
        </w:rPr>
        <w:t>E. 13</w:t>
      </w:r>
    </w:p>
    <w:p>
      <w:r>
        <w:t>Vu cette issue, aucun émolument ne sera mis à la charge du recourant, qui obtient gain de cause, de sorte que son avance de frais lui sera restituée (art. 87 al. 1 LPA).</w:t>
      </w:r>
    </w:p>
    <w:p>
      <w:r>
        <w:rPr>
          <w:b/>
        </w:rPr>
        <w:t>E. 14</w:t>
      </w:r>
    </w:p>
    <w:p>
      <w:r>
        <w:t>Une indemnité de procédure de CHF 1'000-, à la charge de l'autorité intimée, sera allouée au recourant (art. 87 al. 2 LPA et 6 du règlement sur les frais, émoluments et indemnités en procédure administrative du 30 juillet 1986 - RFPA - E 5 10.03), valant participation aux honoraires d'avocat qu'il a dû supporter aux fins de la procédure (cf. ATA/1089/2016 du 20 décembre 2016 consid. 12h).</w:t>
      </w:r>
    </w:p>
    <w:p>
      <w:r>
        <w:t>- 12/12 - A/903/2024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