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JTAPI/1121/2024 vom 13. November 2024</w:t>
      </w:r>
    </w:p>
    <w:p>
      <w:r>
        <w:t>GE Cour de justice, 2024-11-13, FR</w:t>
      </w:r>
    </w:p>
    <w:p>
      <w:r>
        <w:rPr>
          <w:b/>
        </w:rPr>
        <w:t xml:space="preserve">Quelle: </w:t>
      </w:r>
      <w:r>
        <w:t>https://mcp.opencaselaw.ch/entscheid/ge_gerichte_JTAPI_1121_2024</w:t>
      </w:r>
    </w:p>
    <w:p>
      <w:r>
        <w:t>FR: GE_GERICHTE JTAPI/1121/2024 du 13 novembre 2024</w:t>
      </w:r>
    </w:p>
    <w:p>
      <w:r>
        <w:t>IT: GE_GERICHTE JTAPI/1121/2024 del 13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140 I 285 consid. 6.3.1 et les arrêts cités ; arrêts du Tribunal fédéral 1C_576/2021 du 1er avril 2021 consid. 3.1 ; 2C_946/2020 du 18 février 2021 consid. 3.1 ; 1C_355/2019 du 29 janvier 2020 consid. 3.1).</w:t>
      </w:r>
    </w:p>
    <w:p>
      <w:r>
        <w:t>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w:t>
      </w:r>
    </w:p>
    <w:p>
      <w:r>
        <w:t>- 12/18 - A/761/2024 consid. 4.1 ; 2C_1004/2018 du 11 juin 2019 consid. 5.2.1 ; 2C_1125/2018 du 7 janvier 2019 consid. 5.1 ; ATA/672/2021 du 29 juin 2021 consid. 3b).</w:t>
      </w:r>
    </w:p>
    <w:p>
      <w:r>
        <w:rPr>
          <w:b/>
        </w:rPr>
        <w:t>E. 5</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w:t>
      </w:r>
    </w:p>
    <w:p>
      <w:r>
        <w:t>- 11/18 - A/761/2024 qualitativement se modifier au fil des instances, mais peut tout au plus se réduire dans la mesure où certains éléments de la décision attaquée ne sont plus contestés.</w:t>
      </w:r>
    </w:p>
    <w:p>
      <w:r>
        <w:rPr>
          <w:b/>
        </w:rPr>
        <w:t>E. 6</w:t>
      </w:r>
    </w:p>
    <w:p>
      <w:r>
        <w:t>Les recourants prétendent qu'en refusant de délivrer l'autorisation de construire sollicitée au motif qu'ils n'auraient pas produit les compléments et les modifications demandées par les instances de préavis, alors qu'ils avaient requis des prolongations du délai pour ce faire, le département aurait violé le principe de la bonne foi et aurait fait preuve de formalisme excessif.</w:t>
      </w:r>
    </w:p>
    <w:p>
      <w:r>
        <w:t>Ils ne critiquent en revanche pas les motifs ayant conduit le département a refusé l'autorisation de démolir. Ils se limitent à indiquer que conformément au préavis de l'OCLPF du 6 avril 2023 rendu dans le cadre de l'instruction de la demande d'autorisation de démolir, la validité de cette dernière est liée à la délivrance de l'autorisation de construire, raison pour laquelle ils ne formulent aucun grief particulier à son encontre. Dans cette mesure, le tribunal procédera uniquement au contrôle de la décision de refus d'autorisation de construire, conformément à la jurisprudence précitée.</w:t>
      </w:r>
    </w:p>
    <w:p>
      <w:r>
        <w:rPr>
          <w:b/>
        </w:rPr>
        <w:t>E. 7</w:t>
      </w:r>
    </w:p>
    <w:p>
      <w:r>
        <w:t>À titre préalable, les recourants sollicitent l'audition de deux collaboratrices du SMS s'étant chargée du traitement de leur dossier.</w:t>
      </w:r>
    </w:p>
    <w:p>
      <w:r>
        <w:rPr>
          <w:b/>
        </w:rPr>
        <w:t>E. 8</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w:t>
      </w:r>
    </w:p>
    <w:p>
      <w:r>
        <w:rPr>
          <w:b/>
        </w:rPr>
        <w:t>E. 9</w:t>
      </w:r>
    </w:p>
    <w:p>
      <w:r>
        <w:t>En l’espèce, il sera d'emblée relevé que les recourants ont pu développer leur argumentation dans leur recours et produire les pièces justificatives qu’ils estimaient utiles. Les auditions des collaboratrices du SMS ne saurait apporter des éléments supplémentaires déterminants, dès lors que la question litigieuse est celle du respect du devoir de collaboration des recourants dans l'ensemble du traitement de leur dossier et non uniquement en ce qui concerne les échanges ou tentatives d'échanges avec le SMS. Le tribunal considère ainsi disposer des éléments suffisants et nécessaires pour statuer immédiatement sur le litige. Cet acte d'instruction, en soi non obligatoire, ne se révélant pas nécessaire, il n’y sera pas donné suite.</w:t>
      </w:r>
    </w:p>
    <w:p>
      <w:r>
        <w:rPr>
          <w:b/>
        </w:rPr>
        <w:t>E. 10</w:t>
      </w:r>
    </w:p>
    <w:p>
      <w:r>
        <w:t>Aucune construction ou installation ne peut être créée ou transformée sans autorisation de l'autorité compétente (art. 22 al. 1 de la loi fédérale sur l'aménagement du territoire du 22 juin 1979 - LAT - RS 700).</w:t>
      </w:r>
    </w:p>
    <w:p>
      <w:r>
        <w:rPr>
          <w:b/>
        </w:rPr>
        <w:t>E. 11</w:t>
      </w:r>
    </w:p>
    <w:p>
      <w:r>
        <w:t>Selon l'art. 22 al. 2 LAT, l’autorisation est délivrée si la construction ou l’installation est conforme à l’affectation de la zone (let. a) et si le terrain est équipé (let. b). Le droit fédéral et le droit cantonal peuvent poser d’autres conditions (art. 22 al. 3 LAT).</w:t>
      </w:r>
    </w:p>
    <w:p>
      <w:r>
        <w:rPr>
          <w:b/>
        </w:rPr>
        <w:t>E. 12</w:t>
      </w:r>
    </w:p>
    <w:p>
      <w:r>
        <w:t>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w:t>
      </w:r>
    </w:p>
    <w:p>
      <w:r>
        <w:rPr>
          <w:b/>
        </w:rPr>
        <w:t>E. 13</w:t>
      </w:r>
    </w:p>
    <w:p>
      <w:r>
        <w:t>Selon le système prévu par la LCI, les préavis des communes, des départements et des organismes intéressés n'ont qu'un caractère consultatif. L'autorité de décision, qui n'est pas liée par ces préavis, reste libre de s'en écarter pour des motifs pertinents et en raison d'un intérêt public supérieur (art. 3 al. 3 LCI). Néanmoins, lorsque la consultation d'une instance de préavis est imposée par la loi, son préavis a un poids certain dans l'appréciation qu'est amenée à effectuer l'autorité de recours et il convient de ne pas le minimiser (ATA/456/2022 du 3 mai 2022 consid. 4b; ATA/659/2017 du 13 juin 2017 consid. 4b ; ATA/318/2017 du 21 mars 2017 consid. 8c).</w:t>
      </w:r>
    </w:p>
    <w:p>
      <w:r>
        <w:rPr>
          <w:b/>
        </w:rPr>
        <w:t>E. 14</w:t>
      </w:r>
    </w:p>
    <w:p>
      <w:r>
        <w:t>La délivrance d’autorisations de construire demeure de la compétence exclusive du département à qui il appartient de statuer en prenant en compte tous les intérêts en présence (ATA/259/2020 du 3 mars 2020 consid. 4b).</w:t>
      </w:r>
    </w:p>
    <w:p>
      <w:r>
        <w:rPr>
          <w:b/>
        </w:rPr>
        <w:t>E. 15</w:t>
      </w:r>
    </w:p>
    <w:p>
      <w:r>
        <w:t>Aux termes de l'art. 2 LCI, les demandes d'autorisation sont adressées au département (al. 1). Le RCI détermine les pièces qui doivent être déposées par le demandeur et les indications que celui-ci doit fournir concernant les objets destinés à occuper le sous-sol de façon permanente (al. 2). Les plans et autres documents</w:t>
      </w:r>
    </w:p>
    <w:p>
      <w:r>
        <w:t>- 13/18 - A/761/2024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w:t>
      </w:r>
    </w:p>
    <w:p>
      <w:r>
        <w:rPr>
          <w:b/>
        </w:rPr>
        <w:t>E. 16</w:t>
      </w:r>
    </w:p>
    <w:p>
      <w:r>
        <w:t>Les pièces devant être jointes à la demande d'autorisation de construire ainsi que les visas nécessaires sont énumérés à l'art. 9 al. 2 à 7 RCI. L'art. 9 al. 2 RCI établit la liste des différents plans et coupes nécessaires. Doivent ainsi notamment être produits des plans clairs, précis, bien ordonnés et cotés de tous les étages (sous-sols, caves et combles compris) avec désignation de tous les locaux. Ils doivent notamment porter l’indication des canaux de fumée et de ventilation, des portes, des escaliers, des W.-C., des réservoirs, des dévaloirs et de la chaufferie (10 ex.); en cas de transformation, les plans doivent être teintés en deux couleurs conventionnelles, soit jaune pour ce qui est à démolir et rouge pour ce qui est à construire (10 ex.) (let. f) ; pour les constructions et installations faisant l'objet d'un concept énergétique au sens de la loi sur l'énergie, du 18 septembre 1986, le concept énergétique (let. y) ; ou encore le calcul détaillé des rapports de surface et schémas explicatifs, pour les constructions et installations en zone 5 (let. cc).</w:t>
      </w:r>
    </w:p>
    <w:p>
      <w:r>
        <w:rPr>
          <w:b/>
        </w:rPr>
        <w:t>E. 17</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 ATA/213/2018 du 6 mars 2018 et les références citées).</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(ATA/1829/2019 précité).</w:t>
      </w:r>
    </w:p>
    <w:p>
      <w:r>
        <w:rPr>
          <w:b/>
        </w:rPr>
        <w:t>E. 18</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19</w:t>
      </w:r>
    </w:p>
    <w:p>
      <w:r>
        <w:t>Le formalisme excessif, prohibé par l’art. 29 al. 1 Cst., est réalisé lorsque la stricte application des règles de procédure ne se justifie par aucun intérêt digne de protection, devient une fin en soi, complique de manière insoutenable la réalisation</w:t>
      </w:r>
    </w:p>
    <w:p>
      <w:r>
        <w:t>- 14/18 - A/761/2024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w:t>
      </w:r>
    </w:p>
    <w:p>
      <w:r>
        <w:rPr>
          <w:b/>
        </w:rPr>
        <w:t>E. 20</w:t>
      </w:r>
    </w:p>
    <w:p>
      <w:r>
        <w:t>La procédure administrative est régie par la maxime inquisitoire, selon laquelle le juge établit les faits d'office (art. 19 LPA).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de celles-ci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rPr>
          <w:b/>
        </w:rPr>
        <w:t>E. 21</w:t>
      </w:r>
    </w:p>
    <w:p>
      <w:r>
        <w:t>L'art. 24 LPA énonce que l'autorité peut inviter les parties à la renseigner, notamment en produisant les pièces en leur possession ou à se prononcer sur les faits constatés ou allégués et leur fixer un délai à cet effet (al.1).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w:t>
      </w:r>
    </w:p>
    <w:p>
      <w:r>
        <w:rPr>
          <w:b/>
        </w:rPr>
        <w:t>E. 22</w:t>
      </w:r>
    </w:p>
    <w:p>
      <w:r>
        <w:t>En cas d'absence de production des documents nécessaires, le risque de se voir reprocher son défaut de collaboration dans une procédure régie par la maxime inquisitoire existe (ATF 130 II 425 consid. 6.6 ; 125 V 193 consid. 2 et références citées).</w:t>
      </w:r>
    </w:p>
    <w:p>
      <w:r>
        <w:rPr>
          <w:b/>
        </w:rPr>
        <w:t>E. 23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w:t>
      </w:r>
    </w:p>
    <w:p>
      <w:r>
        <w:t>- 15/18 - A/761/2024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arrêts du Tribunal fédéral 1C_53/2022 du 15 mai 2023 consid. 4.1.3 ; 1C_418/2021 précité consid. 3.1). Ne peut se prévaloir du principe de la bonne foi que celui qui a lui-même agi conformément à ce principe (ATF 136 II 359 consid. 7 ; L______, op. cit., n. 36 ad Remarques préliminaires art. 24 à 24e et 37a LAT).</w:t>
      </w:r>
    </w:p>
    <w:p>
      <w:r>
        <w:rPr>
          <w:b/>
        </w:rPr>
        <w:t>E. 24</w:t>
      </w:r>
    </w:p>
    <w:p>
      <w:r>
        <w:t>En l'espèce, la décision de refus du département se base sur l'absence de transmission des compléments et modifications du projet requis par différentes instances de préavis, notamment la DAC, l'OCEN et la CMNS. De leur côté, les recourants soutiennent que le département aurait violé le principe de la bonne foi en refusant l'autorisation en raison de l'absence de documents complémentaires et aurait fait preuve de formalisme excessif. Or, le 11 avril 2023, le département a transmis au mandataire des recourants la teneur des préavis recueillis, dont notamment celui de la DAC du 8 août 2022 constatant que les calculs du gabarit et les distances aux limites des parcelles ne respectaient pas les normes légales, celui de l'OCEN du 12 août 2022 demandant la transmission du concept énergétique du projet et celui de l'OCLPF du 6 avril 2023 demandant la production de documents complémentaires en lien avec la compensation LDTR et le formulaire nécessaire à l'établissement du futur état locatif détaillé. D'autres instances ont également requis la modification du projet, notamment l'OCT, dans son préavis du 9 septembre 2022, relevant que le projet nécessitait l'octroi d'une dérogation importante au nombre de places de stationnement. De plus, l'OU, dans son préavis du 5 septembre 2022, et l'OCAN, dans son préavis du 14 septembre 2022, ont requis la modification du projet au motif qu'il empiétait sur la zone agricole et n'était ainsi en l'état pas autorisable. Enfin, la CMNS et le SMS, dans leurs préavis respectifs du 17 octobre 2022, ont sollicité la réduction de la densité du projet et des surfaces de stationnement, notamment afin qu'il respecte les objectifs du plan de site n° 6______. À ce stade, le projet ne respectait ainsi pas les exigences légales pour être autorisé et le dossier d'instruction était manifestement incomplet. En suite de quoi, le département a imparti un délai de 30 jours au mandataire des recourants pour faire parvenir les pièces complémentaires et procéder aux modifications requises selon les exigences de la première volée de préavis. Il était précisé que, passé ce délai et sans nouvelle de sa part, le dossier serait instruit avec les éléments en mains du département, la reprise du dossier n'intervenant qu'à réception de l'ensemble des pièces demandées.</w:t>
      </w:r>
    </w:p>
    <w:p>
      <w:r>
        <w:t>- 16/18 - A/761/2024 Le département a ensuite accordé au mandataire des recourants, sur sollicitation de sa part, cinq prolongations de délai afin de répondre aux exigences des instances de préavis, le délai échouant ainsi en définitive au 15 décembre 2023, équivalent à près de huit mois supplémentaires. Or, malgré les divers délais accordés, accompagnés des mises en garde d'usage sur les conséquences de la non-observation de ceux-ci, les requérants, qui n'ont du reste jamais remis en question la pertinence des documents requis, n'ont pas donné suite aux demandes du département. Ainsi, les recourants, par le biais de leur mandataire, ont été dûment informés que le dossier déposé n’était pas complet, et qu’à défaut d’obtenir les informations demandées, l’autorité intimée statuerait en l’état du dossier. Les arguments avancés par les recourants pour tenter de justifier leur manque de collaboration ne sont pas convaincants. S'ils prétendent certes que leur mandataire aurait entamé des discussions avec le SMS depuis juin 2023 et subi les conséquences de la restructuration interne dudit service, il n'en demeure pas moins qu'à teneur des éléments du dossier, ce n'est qu'à l'occasion de son courrier du 13 novembre 2023 que leur mandataire a tenté de prendre contact avec le SMS en vue de fixer un rendez-vous pour discuter du préavis du 17 octobre 2022. En tout état, aucun élément du dossier ne permet d'exposer que les recourants auraient procédé à d'autres modifications du projet ou transmis des documents complémentaires au département. S'ils sont d'avis qu'ils n'avaient pas de raison d'entamer d'autres démarches dans l'attente des discussions avec le SMS, leur position n'est pas convaincante. En effet, il convient de rappeler que chaque instance de préavis traite d'éléments précis et distincts nécessaires à l'examen d'un projet. À cela s'ajoute que l'art. 9 RCI conjugué avec l'art. 24 LPA, octroi une importante marge de manœuvre au département quant à l'appréciation de l'attitude d'une partie et, partant, sur la faculté de l'autorité intimée d'accepter ou non une prolongation de délai pour transmettre des informations complémentaires à un projet. Enfin, les recourants ne parviennent pas à démontrer que le projet de construction litigieux serait d'une complexité telle que son instruction et la production des compléments demandés seraient à ce point difficiles. Il sied de relever que les éléments contextuels autour du projet, notamment l'évacuation des locataires, n'est pas déterminante dans l'instruction d'un projet de construction, mais plutôt durant sa phase de réalisation. Au surplus, rien ne permet de constater une quelconque violation du principe de la bonne foi. Le fait que le département ait accordé aux recourants plusieurs prolongations de délai n'est en effet pas constitutif d'une assurance quant à la délivrance d'une autorisation de construire. Au contraire, cela ne représente en réalité que la concrétisation du principe de proportionnalité afin de permettre à un requérant de produire les éléments nécessaires à l'instruction du dossier, compte tenu du contexte lié à son projet, notamment de sa complexité.</w:t>
      </w:r>
    </w:p>
    <w:p>
      <w:r>
        <w:t>- 17/18 - A/761/2024 Dans ces circonstances, le recourant ayant failli à son devoir de collaboration, c'est sans verser dans l'arbitraire que le département a statué en l'état du dossier et a refusé de délivrer l'autorisation de construire sollicitée.</w:t>
      </w:r>
    </w:p>
    <w:p>
      <w:r>
        <w:rPr>
          <w:b/>
        </w:rPr>
        <w:t>E. 25</w:t>
      </w:r>
    </w:p>
    <w:p>
      <w:r>
        <w:t>Mal fondé, le recours est rejeté et les décisions confirmées.</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 Vu l’issue du litige, aucune indemnité de procédure ne sera allouée (art. 87 al. 2 LPA).</w:t>
      </w:r>
    </w:p>
    <w:p>
      <w:r>
        <w:t>- 18/18 - A/761/2024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