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JTAPI/1111/2022 vom 20. Oktober 2022</w:t>
      </w:r>
    </w:p>
    <w:p>
      <w:r>
        <w:t>GE Cour de justice, 2022-10-20, FR</w:t>
      </w:r>
    </w:p>
    <w:p>
      <w:r>
        <w:rPr>
          <w:b/>
        </w:rPr>
        <w:t xml:space="preserve">Quelle: </w:t>
      </w:r>
      <w:r>
        <w:t>https://mcp.opencaselaw.ch/entscheid/ge_gerichte_JTAPI_1111_2022</w:t>
      </w:r>
    </w:p>
    <w:p>
      <w:r>
        <w:t>FR: GE_GERICHTE JTAPI/1111/2022 du 20 octobre 2022</w:t>
      </w:r>
    </w:p>
    <w:p>
      <w:r>
        <w:t>IT: GE_GERICHTE JTAPI/1111/2022 del 20 ottobre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w:t>
      </w:r>
    </w:p>
    <w:p>
      <w:r>
        <w:rPr>
          <w:b/>
        </w:rPr>
        <w:t>E. 2</w:t>
      </w:r>
    </w:p>
    <w:p>
      <w:r>
        <w:t>Interjeté en temps utile dans les formes prescrites devant la juridiction compétente et par la recourante qui était destinataire de la décision, le recours est recevable au sens des art. 60 et 62 à 65 de la loi sur la procédure administrative du 12 septembre 1985 (LPA - E 5 10).</w:t>
      </w:r>
    </w:p>
    <w:p>
      <w:r>
        <w:rPr>
          <w:b/>
        </w:rPr>
        <w:t>E. 2.2</w:t>
      </w:r>
    </w:p>
    <w:p>
      <w:r>
        <w:t>; ATA/80/2016 du 26 janvier 2016 consid. 2).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par conséquent être examiné en premier lieu (ATF 137 I 195 consid. 2.2). Sa portée est tout d'abord déterminée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suisse, du 18 avril 1999 (Cst. – RS 101), qui s’appliquent (art. 29 al. 2 Cst. ; arrêt du Tribunal fédéral 4A_15/2010 du 15 mars 2010 consid. 3.1).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4</w:t>
      </w:r>
    </w:p>
    <w:p>
      <w:r>
        <w:t>La recourante fait tout d’abord valoir une violation de son droit d’être entendu en lien avec la tenue du dossier par l’autorité intimée. Celle-ci aurait ajouté une pièce nouvelle après la prise de décision, n’aurait pas versé au dossier la réponse du secteur des gardes cantonaux de l’environnement du 30 juin 2022, ni sollicité le préavis de la commission de la faune.</w:t>
      </w:r>
    </w:p>
    <w:p>
      <w:r>
        <w:t>- 10/19 - A/3805/2021</w:t>
      </w:r>
    </w:p>
    <w:p>
      <w:r>
        <w:rPr>
          <w:b/>
        </w:rPr>
        <w:t>E. 5</w:t>
      </w:r>
    </w:p>
    <w:p>
      <w:r>
        <w:t>Le droit d'être entendu, garanti par l'art. 29 al. 2 de la Constitution fédérale de la Confédération suisse du 18 avril 1999 (Cst. - RS 101), comprend notamment le droit pour le justiciable de faire valoir son point de vue avant qu'une décision ne soit prise à son détriment, de fournir des preuves pertinentes quant aux faits de nature à influer sur la décision, d'avoir accès au dossier, de participer à l'administration des preuves, d'en prendre connaissance et de se déterminer à leur propos (ATF 142 II 218 consid. 2.3 ; 140 I 285 consid. 6.3.1; 138 II 252 consid.</w:t>
      </w:r>
    </w:p>
    <w:p>
      <w:r>
        <w:rPr>
          <w:b/>
        </w:rPr>
        <w:t>E. 6</w:t>
      </w:r>
    </w:p>
    <w:p>
      <w:r>
        <w:t>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Elle dépend toutefois de la gravité et de l'étendue de</w:t>
      </w:r>
    </w:p>
    <w:p>
      <w:r>
        <w:t>- 11/19 - A/3805/2021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du 6 septembre 2016 et les références citées).</w:t>
      </w:r>
    </w:p>
    <w:p>
      <w:r>
        <w:rPr>
          <w:b/>
        </w:rPr>
        <w:t>E. 7</w:t>
      </w:r>
    </w:p>
    <w:p>
      <w:r>
        <w:t>En l’espèce, dans ces observations du 23 décembre 2021, l’autorité intimée a admis avoir ajouté au dossier, après qu’elle ait pris sa décision, l’impression d’une page Wikipedia contenant la définition du mot « lasergame ». Quant à la position des gardes cantonaux de l’environnement exprimée dans le courriel du 30 juin 2022, cette pièce avait échappée à la numérisation mais a été produite dans le cadre de la présente procédure de recours. En revanche, la sous-commission « de la faune » n’avait pas été sollicitée raison pour laquelle aucun préavis de celle-ci ne figurait au dossier. Il apparaît ainsi que deux pièces ne figuraient pas au dossier qui a été remis à la recourante. Néanmoins, l’autorité intimée les a produites devant le tribunal de céans de sorte que la recourante a ainsi pu faire valoir ses arguments et mettre en évidence son point de vue de manière efficace. Dès lors, quand bien même la manière de procéder de l’autorité intimée serait constitutive d'une violation du droit d'être entendu, celle-ci ne peut être considérée comme grave et a pu être entièrement réparée dans le cadre de la procédure devant le tribunal de céans qui dispose d'une cognition entière et peut ainsi examiner toutes les critiques que la recourante pouvait faire valoir. Mal fondé, ce grief sera écarté.</w:t>
      </w:r>
    </w:p>
    <w:p>
      <w:r>
        <w:rPr>
          <w:b/>
        </w:rPr>
        <w:t>E. 8</w:t>
      </w:r>
    </w:p>
    <w:p>
      <w:r>
        <w:t>La recourante fait valoir que la décision querellée est contraire au principe de la force dérogatoire du droit fédéral et constituerait une violation du libre accès aux forêts. Pour elle, le fait d’assimiler à une grande manifestation tout rassemblement avec des connotations de jeux de combat serait contraire à la législation fédérale.</w:t>
      </w:r>
    </w:p>
    <w:p>
      <w:r>
        <w:rPr>
          <w:b/>
        </w:rPr>
        <w:t>E. 9</w:t>
      </w:r>
    </w:p>
    <w:p>
      <w:r>
        <w:t>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ATA/552/2013 du 27 août 2013 ; ATA/187/2003 du 1er avril 2003).</w:t>
      </w:r>
    </w:p>
    <w:p>
      <w:r>
        <w:t>- 12/19 - A/3805/2021</w:t>
      </w:r>
    </w:p>
    <w:p>
      <w:r>
        <w:rPr>
          <w:b/>
        </w:rPr>
        <w:t>E. 10</w:t>
      </w:r>
    </w:p>
    <w:p>
      <w:r>
        <w:t>Aux termes de l’art. 699 al. 1 du code civil (CC – RS 210)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w:t>
      </w:r>
    </w:p>
    <w:p>
      <w:r>
        <w:rPr>
          <w:b/>
        </w:rPr>
        <w:t>E. 11</w:t>
      </w:r>
    </w:p>
    <w:p>
      <w:r>
        <w:t>Conformément à l’art. 14 al. 1 de la loi fédérale sur les forêts (LFo – RS 921.0), les cantons veillent à ce que les forêts soient accessibles au public (al. 1). Des espaces de délassement suffisamment grands et situés hors de la forêt doivent être offerts à la population, afin d’éviter que les forêts soient utilisées à cette fin. Il faut toutefois rappeler que la fonction sociale de la forêt recouvre une fonction de délassement. La forêt doit, par conséquent, être également considérée comme un espace de loisirs accessible au public en raison de sa situation, de sa structure, de son peuplement et de sa configuration (David BOULAZ, La protection du paysage, Etude de droit fédéral et vaudois, p. 395). Cependant, l’art. 14 al. 2 LFo prévoit un régime d’exception si l’intérêt de la forêt ou un autre intérêt public l’impose, par exemple la protection des plantes ou d’animaux sauvages. Dans ce cas, les cantons doivent limiter l’accès à certaines zones forestières et soumettre à autorisation, notamment, l’organisation de grandes manifestations en forêt.</w:t>
      </w:r>
    </w:p>
    <w:p>
      <w:r>
        <w:rPr>
          <w:b/>
        </w:rPr>
        <w:t>E. 12</w:t>
      </w:r>
    </w:p>
    <w:p>
      <w:r>
        <w:t>Selon la doctrine, la notion de grande manifestation suppose une organisation et une personne de contact ; pour une grande manifestation, il faut un nombre important de participants, qui peut être défini par le droit cantonal. Il s'agit de manifestations telles que les fêtes forestières, les courses de VTT, les courses d'orientation, les manifestations utilisant des moyens techniques tels que des installations d'éclairage ou d'amplification, entre autres. De nombreux cantons prévoient également des obligations d'annonce pour les manifestations moins perturbantes. L'octroi de l'autorisation nécessite une pesée des intérêts. Il convient d'opposer, d'une part, les intérêts de détente et de loisirs des participants à la manifestation et, d'autre part, les intérêts publics en matière de conservation des forêts, de besoins de protection et de tranquillité pendant la période de reproduction (oiseaux) et de mise bas (chevreuils), de protection contre les nuisances sonores, etc. (Beatrice WAGNER PFEIFER, Umweltrecht - Besondere Regelungsbereiche, Ein Handbuch zu Spezialgebieten des Umweltrechts: Störfallvorsorge, umweltrechtliche Aspekte des Chemikalienrechts, Abfallrecht, Altlasten, Gewässerschutz, Natur - und Heimatschutz, Wald u.a., 2e éd., p. 572).</w:t>
      </w:r>
    </w:p>
    <w:p>
      <w:r>
        <w:rPr>
          <w:b/>
        </w:rPr>
        <w:t>E. 13</w:t>
      </w:r>
    </w:p>
    <w:p>
      <w:r>
        <w:t>L’auteur Brigitte WOLF va dans le même sens. Selon cette dernière, le Conseil fédéral a renoncé à préciser la notion de grande manifestation au niveau de l'ordonnance. Les débats parlementaires approfondis sur cette disposition ont toutefois mis en évidence que la taille d'une manifestation ne se mesure pas seulement au nombre de participants, mais aussi et surtout aux effets attendus sur</w:t>
      </w:r>
    </w:p>
    <w:p>
      <w:r>
        <w:t>- 13/19 - A/3805/2021 la forêt. De même, la mise en œuvre de la notion de grande manifestation varie considérablement d'un canton à l'autre. Dix-neuf cantons les définissent de manière générale, par exemple comme celles qui peuvent entraîner une forte sollicitation de la forêt ou une atteinte importante à la faune et à la flore. Quatorze cantons définissent dans leur législation les motifs qui peuvent conduire à des charges ou des conditions, voire à un refus d'autorisation. Outre les intérêts de la conservation des forêts et de la protection de la nature, les points de vue suivants sont mentionnés : intérêts de l'homme en matière de détente et de loisirs, moment (période de nidification des oiseaux, période de mise bas du gibier, besoin de repos des animaux en hiver), lieu (réserves naturelles, zones de tranquillité pour la faune), itinéraire, fréquence des manifestations, nuisances sonores, etc. Dans seize cantons, les grandes manifestations sont définies en fonction d'un nombre minimal de personnes, ce nombre variant entre cent et mille. Dans les cantons de Berne et de Genève, la course d'orientation est explicitement mentionnée et toutes les compétitions nationales et internationales de course d'orientation sont soumises à une autorisation. Le canton de Genève va même jusqu'à déclarer que toute manifestation en forêt est soumise à autorisation. Neuf cantons complètent l'obligation d'autorisation pour les grandes manifestations par une obligation d'annonce. Dans le cadre de la décision relative à l'autorisation d'une grande manifestation, il convient de procéder à une pesée des intérêts. L'intérêt privé des organisateurs ainsi que l'intérêt public exprimé à l'art. 14 al. 1 LFo, à savoir l'accessibilité de la forêt pour le grand public, plaident en faveur de l'organisation d'une manifestation. En revanche, les intérêts privés des propriétaires forestiers et, comme on peut le constater, les intérêts de l'État en matière de protection de la nature s'opposent parfois à l'organisation d'une manifestation (Brigitte WOLF, Sportveranstaltungen im Wald am Beispiel OL, DEP 2010, p. 355 ss).</w:t>
      </w:r>
    </w:p>
    <w:p>
      <w:r>
        <w:rPr>
          <w:b/>
        </w:rPr>
        <w:t>E. 14</w:t>
      </w:r>
    </w:p>
    <w:p>
      <w:r>
        <w:t>D’autres auteurs sont également d’avis que les restrictions doivent favoriser la conservation des forêts, reposer sur une base légale et respecter le principe de proportionnalité prévu à l’art. 5 al. 2 Cst. (Vincent PERRITAZ, Le bois mort en forêt : quelles responsabilités pour le propriétaire forestier ?, DC 2020, p. 117 ss).</w:t>
      </w:r>
    </w:p>
    <w:p>
      <w:r>
        <w:rPr>
          <w:b/>
        </w:rPr>
        <w:t>E. 15</w:t>
      </w:r>
    </w:p>
    <w:p>
      <w:r>
        <w:t>L’art. 50 LFo prévoit que les cantons exécutent la LFo et édictent les dispositions nécessaires. Dans ce cadre, le législateur fédéral a donné aux cantons le pouvoir de légiférer plus en détail dans certains domaines, dont l’accès aux forêts (Hans- Peter JENNI, Pour que les arbres ne cachent pas la forêt : un guide à travers la nouvelle législation sur les forêts, Cahier de l’environnement n° 210, p. 23-24).</w:t>
      </w:r>
    </w:p>
    <w:p>
      <w:r>
        <w:rPr>
          <w:b/>
        </w:rPr>
        <w:t>E. 16</w:t>
      </w:r>
    </w:p>
    <w:p>
      <w:r>
        <w:t>En l’occurrence, à Genève, l’exécution de la LFo est prévue dans la LForêts qui stipule à son art. 19 al. 1 que toute manifestation en forêt est soumise à autorisation de l’inspecteur. Dans le cadre de la modification de l’art. 19 LForêts intervenue en 2019, le législateur genevois visait à rendre cette disposition conforme au droit fédéral et à assouplir la réglementation des manifestations en forêt afin d'alléger et simplifier</w:t>
      </w:r>
    </w:p>
    <w:p>
      <w:r>
        <w:t>- 14/19 - A/3805/2021 la gestion administrative des autorisations y relatives (Rapport de la commission de l’environnement et de l’agriculture chargée d’étudier le projet de loi PL 12292 du Conseil d’Etat modifiant la loi sur les forêts, exposé des motifs, p. 1, Disponible sur https://ge.ch/grandconseil/ data/texte/ PL12292). S’agissant des manifestations en forêt, il ressort également de l’exposé des motifs que le législateur genevois avait précisément pour objectif d’adapter l’art. 19 LForêts à la législation fédérale. Dans le cadre de ses travaux, il a ainsi relevé que le Conseil fédéral n’avait pas défini plus précisément la notion de grande manifestation et que les parlementaires fédéraux avaient estimé que l'ampleur d'une manifestation ne se mesurait pas seulement au nombre de participants, mais aussi d'après la nature des répercussions probables sur la forêt. La définition et les critères de l’autorisation seraient ainsi prévus dans la RForêts (Rapport de la commission de l’environnement et de l’agriculture chargée d’étudier le projet de loi PL 12292 du Conseil d’Etat modifiant la loi sur les forêts, exposé des motifs, p. 9, Disponible sur https://ge.ch/grandconseil/ data/texte/ PL12292).</w:t>
      </w:r>
    </w:p>
    <w:p>
      <w:r>
        <w:rPr>
          <w:b/>
        </w:rPr>
        <w:t>E. 17</w:t>
      </w:r>
    </w:p>
    <w:p>
      <w:r>
        <w:t>Selon l’art. 23 al. 3 RForêts, par grande manifestation, il faut entendre tout rassemblement de caractère organisé comportant au moins l'un des éléments suivants : a) présence de plus de 50 personnes; b) utilisation de voies de communication imposant des restrictions pour les tiers; c) mise en place d'installations temporaires, telles que tente, caravanes, buvette ou WC; d) installation d'un système d'éclairage ou d'amplification de son; e) durée supérieure à 5 jours (préparatifs et remise en état du terrain y compris); f) jeux de combat et/ou utilisation de projectiles; g) activité cynologique réunissant plus de 10 chiens non tenus en laisse.</w:t>
      </w:r>
    </w:p>
    <w:p>
      <w:r>
        <w:rPr>
          <w:b/>
        </w:rPr>
        <w:t>E. 18</w:t>
      </w:r>
    </w:p>
    <w:p>
      <w:r>
        <w:t>En l’occurrence, au vu de ce qui précède, contrairement à l’avis de la recourante, il ne fait pas de doute que s’agissant de la définition précise de la notion de grande manifestation ou des restrictions d’accès à la forêt, le législateur fédéral a souhaité confier la réglementation détaillée aux cantons. Cela paraît tout à fait approprié compte tenu des spécificités de chaque canton et des grandes différences en termes de territoire forestier. Le canton de Genève s’est aligné sur l’interprétation de la notion de grande manifestation mais l’a appréhendé en fonction de ses spécificités et de l’état de ses forêts résumé dans le rapport sur la durabilité de la forêt dans le canton de Genève de février 2021 mettant en évidence de fortes pressions anthropogènes puisque l’omniprésence du public dans la forêt genevoise provoquait un piétinement généralisé du sol. Or, comme précisé plus haut, le cadre fédéral lui permettait d’aborder la notion de grande manifestation en prenant en considération non seulement le critère du nombre de participants, mais également celui de l’importance des impacts sur les forêts. Ainsi, on doit admettre avec le département, qu’en fonction de la situation de ses forêts, le législateur genevois a considéré qu’il était justifié de prendre en considération également le critère de</w:t>
      </w:r>
    </w:p>
    <w:p>
      <w:r>
        <w:t>- 15/19 - A/3805/2021 jeux de combat et/ou utilisation de projectiles eu égard à l’impact que ces activités peuvent avoir sur la faune et la flore. C’est d’ailleurs ce qu’a relevé la sous- commission de la flore dans sa prise de position du 11 juin 2021 pour proposer que de telles activités soient non seulement soumises à autorisation mais également restreintes à des secteurs définis. De même, et le département l’a relevé à juste titre, le rapport du F______ lui- même a mis en évidence le fait que le jeu E______ pouvait avoir un impact sur la flore en raison du piétinement occasionné par les joueurs ou déranger la faune. En conséquence, la réglementation genevoise en la matière et conforme au droit fédéral. Elle ne l’élude aucunement ni n’en contredit le sens ou l’esprit. Le principe de la force dérogatoire du droit fédéral n’étant ainsi pas violé, le grief doit être rejeté.</w:t>
      </w:r>
    </w:p>
    <w:p>
      <w:r>
        <w:rPr>
          <w:b/>
        </w:rPr>
        <w:t>E. 19</w:t>
      </w:r>
    </w:p>
    <w:p>
      <w:r>
        <w:t>Dans un autre grief, la recourante estime tout d’abord que l’art. 23 al. 3 let. f RForêts contrevient à l’art. 19 al. 1 LForêts qui n’indique pas qu’il appartenait à l’exécutif de définir la notion de grande manifestation. Elle estime également que la décision litigieuse viole ces dispositions puisqu’elles ne s’appliquent pas à son jeu et que celui-ci ne saurait être soumis à autorisation.</w:t>
      </w:r>
    </w:p>
    <w:p>
      <w:r>
        <w:rPr>
          <w:b/>
        </w:rPr>
        <w:t>E. 20</w:t>
      </w:r>
    </w:p>
    <w:p>
      <w:r>
        <w:t>En l’occurrence, tel que mentionné plus haut au chiffre 16, le législateur genevois a expressément prévu que la définition de la notion de grande manifestation ainsi que les critères de l’autorisation, seraient prévus dans le RForêts. Sur ce point, il n’y a dès lors aucune transgression à la LForêts. Il n’y en a pas non plus s’agissant de la décision du département de soumettre le jeu E______ à autorisation. Il est exact que le législateur genevois, en mentionnant les jeux de combat sans utilisation de projectiles dans la RForêts, a voulu soumettre à autorisation les jeux de combat tels que le lasergame lequel n’utilise pas de projectiles. Or, tant la notice de F______, que la recourante elle-même, ont défini le jeu comme un système innovant de lasergame à infrarouge (…). C’est donc à juste titre que l’autorité intimée a décidé de faire application, dans le cas d’espèce, de l’art. 23 al. 3 let. f RForêts. La soumission à autorisation répond donc au besoin de contrôle de l’activité par les services spécialisés lesquels pourraient, cas échéant, émettre les conditions et recommandations nécessaires s’agissant notamment du périmètre d’exercice du jeu. Mal fondé, le grief doit être rejeté.</w:t>
      </w:r>
    </w:p>
    <w:p>
      <w:r>
        <w:rPr>
          <w:b/>
        </w:rPr>
        <w:t>E. 21</w:t>
      </w:r>
    </w:p>
    <w:p>
      <w:r>
        <w:t>La recourante soulève ensuite le grief de violation du principe de l’égalité de traitement. Selon elle, sa situation est traitée différemment et moins favorablement, sans motif objectif, que celle d’autres administrés se livrant à des jeux en forêts soustraits à l’obligation d’autorisation.</w:t>
      </w:r>
    </w:p>
    <w:p>
      <w:r>
        <w:t>- 16/19 - A/3805/2021</w:t>
      </w:r>
    </w:p>
    <w:p>
      <w:r>
        <w:rPr>
          <w:b/>
        </w:rPr>
        <w:t>E. 22</w:t>
      </w:r>
    </w:p>
    <w:p>
      <w:r>
        <w:t>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rPr>
          <w:b/>
        </w:rPr>
        <w:t>E. 23</w:t>
      </w:r>
    </w:p>
    <w:p>
      <w:r>
        <w:t>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rPr>
          <w:b/>
        </w:rPr>
        <w:t>E. 24</w:t>
      </w:r>
    </w:p>
    <w:p>
      <w:r>
        <w:t>En l’espèce, tel qu’établi plus haut, le canton de Genève a décidé, conformément au droit fédéral et afin de tenir compte de la situation de ses forêts, de soumettre à autorisation certaines activités pouvant s’y dérouler tel que le jeu E______. Ainsi, toute personne ou société souhaitant pratiquer le même jeu et/ou activité est tenue de requérir une autorisation au sens de l’art. 23 RForêts. Pour le reste, la recourante ne porte pas à la connaissance du tribunal de céans des exemples de sociétés ou de personnes s’adonnant à la même pratique qu’elle et qui ne seraient pas soumis à autorisation ou qui auraient rencontré plus de tolérance de la part de l’autorité intimée. Elle échoue en conséquence à démontrer que cette dernière aurait violé le principe de l’égalité de traitement.</w:t>
      </w:r>
    </w:p>
    <w:p>
      <w:r>
        <w:rPr>
          <w:b/>
        </w:rPr>
        <w:t>E. 25</w:t>
      </w:r>
    </w:p>
    <w:p>
      <w:r>
        <w:t>Ce grief sera dès lors également écarté.</w:t>
      </w:r>
    </w:p>
    <w:p>
      <w:r>
        <w:rPr>
          <w:b/>
        </w:rPr>
        <w:t>E. 26</w:t>
      </w:r>
    </w:p>
    <w:p>
      <w:r>
        <w:t>Le dernier grief de la recourante a trait à la violation de la liberté économique et du principe de la proportionnalité. Elle estime tout d’abord que son activité économique a été restreinte et que, de plus, aucun intérêt public ou privé prépondérant ne justifierait de lui imposer une telle restriction.</w:t>
      </w:r>
    </w:p>
    <w:p>
      <w:r>
        <w:rPr>
          <w:b/>
        </w:rPr>
        <w:t>E. 27</w:t>
      </w:r>
    </w:p>
    <w:p>
      <w:r>
        <w:t>Comme tout droit fondamental, la liberté économique, garantie par l'art. 27 Cst., ne peut être restreinte qu'aux conditions de l'art. 36 Cst. La restriction doit donc reposer sur une base légale (al. 1), être justifiée par un intérêt public (al. 2) et respecter le principe de la proportionnalité (al. 3). La liberté économique, telle que consacrée par l'art. 27 Cst., a pour but de protéger toute activité économique privée tendant à la production d'un gain, soit toute activité exercée par une personne dans un but lucratif. Elle garantit l'existence</w:t>
      </w:r>
    </w:p>
    <w:p>
      <w:r>
        <w:t>- 17/19 - A/3805/2021 d'un ordre économique fondé sur le marché et sur un minimum de concurrence (Giorgio MALINVERNI/Michel HOTTELIER/Maya HERTIG RANDALL/ Alexandre FLÜCKIGER, Droit constitutionnel suisse, vol. II, 2021, n. 960 et 1035 et les arrêts cités). 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(ATA/1094/2020 du 3 novembre 2020 ; ATA/309/2016 du 12 avril 2016).</w:t>
      </w:r>
    </w:p>
    <w:p>
      <w:r>
        <w:rPr>
          <w:b/>
        </w:rPr>
        <w:t>E. 28</w:t>
      </w:r>
    </w:p>
    <w:p>
      <w:r>
        <w:t>En l’espèce, il sied tout d’abord de relever que la décision querellée ne concerne pas spécifiquement l’activité économique de la recourante. Elle se prononce sur les conditions d’accès à la forêt. Tel que vu ci-dessus, l'éventuelle atteinte à la liberté économique de la recourante se fonde bien sur une base légale suffisante, à savoir les articles 19 LForêts et 23 RForêts, qui fixent les conditions de restriction des accès à la forêt et pour requérir une autorisation en cas de manifestation. Ces restrictions répondent à un intérêt public prépondérant soit celui de conservation des forêts. La mesure entreprise s'avère également proportionnée. En effet, une pesée des intérêts en présence permet d’arriver à la conclusion que la soumission à autorisation de l’activité de la recourante dans l’optique de préservation des forêts genevoises l’emporte au regard de ses intérêts à pratiquer son activité sans devoir demander au préalable une autorisation. De même, la recourante s’est vue proposer par l’autorité intimée un terrain spécifique dédié à des activités similaires. Le tribunal de céans ne voit pas non plus quelle autre mesure permettrait à l’autorité intimée de préserver les forêts tout en laissant à la recourante la possibilité de pratiquer son jeu en forêt. Enfin, comme relevé à juste titre par l’autorité intimée dans ses observations, le jeu E______ peut également être pratiqué dans plusieurs autres lieux de sorte que l’impact de la décision querellée apparaît non seulement proportionné mais également limité du point de vue économique. La décision de soumettre l’activité de la recourante à autorisation lorsqu’elle se déroule en forêt ne constitue ainsi aucune violation de la liberté économique.</w:t>
      </w:r>
    </w:p>
    <w:p>
      <w:r>
        <w:t>- 18/19 - A/3805/2021</w:t>
      </w:r>
    </w:p>
    <w:p>
      <w:r>
        <w:rPr>
          <w:b/>
        </w:rPr>
        <w:t>E. 29</w:t>
      </w:r>
    </w:p>
    <w:p>
      <w:r>
        <w:t>Cette motivation s’applique également à la conclusion subsidiaire de la recourante demandant à ce qu’il soit constaté que son activité pouvait être déployée sans autorisation mais moyennant des conditions (cf. chiffre 14, p. 5 ci-dessus). En effet, en procédant de la sorte, le département n’aurait plus le moyen d’apprécier au cas par cas la situation pour émettre les recommandations nécessaires en fonction du lieu que la recourante aurait choisi pour exercer son jeu.</w:t>
      </w:r>
    </w:p>
    <w:p>
      <w:r>
        <w:rPr>
          <w:b/>
        </w:rPr>
        <w:t>E. 30</w:t>
      </w:r>
    </w:p>
    <w:p>
      <w:r>
        <w:t>Entièrement mal fondé, le recours sera ainsi rejeté.</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900.-; il est couvert par l’avance de frais versée à la suite du dépôt du recours. Vu l’issue du litige, aucune indemnité de procédure ne sera allouée (art. 87 al. 2 LPA).</w:t>
      </w:r>
    </w:p>
    <w:p>
      <w:r>
        <w:t>- 19/19 - A/3805/2021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