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JTAPI/1110/2021 vom 4. November 2021</w:t>
      </w:r>
    </w:p>
    <w:p>
      <w:r>
        <w:t>GE Cour de justice, 2021-11-04, FR</w:t>
      </w:r>
    </w:p>
    <w:p>
      <w:r>
        <w:rPr>
          <w:b/>
        </w:rPr>
        <w:t xml:space="preserve">Quelle: </w:t>
      </w:r>
      <w:r>
        <w:t>https://mcp.opencaselaw.ch/entscheid/ge_gerichte_JTAPI_1110_2021</w:t>
      </w:r>
    </w:p>
    <w:p>
      <w:r>
        <w:t>FR: GE_GERICHTE JTAPI/1110/2021 du 4 novembre 2021</w:t>
      </w:r>
    </w:p>
    <w:p>
      <w:r>
        <w:t>IT: GE_GERICHTE JTAPI/1110/2021 del 4 novembre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le recourant sollicite un transport sur place de la part du tribunal afin de constater que le car n'y est plus stationné, afin de constater que les constructions existantes ne suffisent "de loin pas" aux besoins des exploitants et afin d'apprécier l'impact visuel des constructions et dépôts.</w:t>
      </w:r>
    </w:p>
    <w:p>
      <w:r>
        <w:rPr>
          <w:b/>
        </w:rPr>
        <w:t>E. 4</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w:t>
      </w:r>
    </w:p>
    <w:p>
      <w:r>
        <w:t>- 7/18 - A/778/2021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rPr>
          <w:b/>
        </w:rPr>
        <w:t>E. 5</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un transport sur place. En tout état, le reportage photographique très complet produit par le département permet d'avoir un aperçu visuel amplement suffisant pour que le tribunal se détermine sur la situation du cas d'espèce. Au demeurant, ainsi qu'il en sera question plus loin, l'impact visuel des éléments litigieux est sans pertinence et rend dès lors un transport sur place inutile : en effet, seul importe la question de savoir s'il s'agit d'éléments qui n'ont pas été soumis à une procédure d'autorisation de construire alors qu'ils auraient dû l'être. Il en va de même de la question de savoir si les constructions existantes suffisent ou non aux besoins des exploitants, ce problème ne pouvant en tout état pas être résolu au moyen de constructions érigées sans autorisation. Quant à la question de l'enlèvement du car, elle ne nécessite pas non plus un transport sur place, pour les raisons qui seront évoquées plus loin. Par conséquent, cette demande d'instruction, en soi non obligatoire, sera rejetée.</w:t>
      </w:r>
    </w:p>
    <w:p>
      <w:r>
        <w:rPr>
          <w:b/>
        </w:rPr>
        <w:t>E. 6</w:t>
      </w:r>
    </w:p>
    <w:p>
      <w:r>
        <w:t>Le recourant demande ensuite la suspension de la procédure dans la mesure où le bungalow, érigé de manière provisoire, serait bientôt supprimé au profit d'un nouveau hangar que les exploitants projettent de construire. Ainsi, l'ordre de remise en conformité serait, sur ce point, sans objet.</w:t>
      </w:r>
    </w:p>
    <w:p>
      <w:r>
        <w:rPr>
          <w:b/>
        </w:rPr>
        <w:t>E. 7</w:t>
      </w:r>
    </w:p>
    <w:p>
      <w:r>
        <w:t>Selon la jurisprudence (ATA/476/2021 du 4 mai 2021 consid. 2e),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w:t>
      </w:r>
    </w:p>
    <w:p>
      <w:r>
        <w:t>- 8/18 - A/778/2021 l’art. 29 al. 1 Cst. d’attendre la décision d’une autre autorité, même si celle-ci est susceptible de fournir une solution au litige, si ledit litige peut être tranché sans délai sur la base d’autres motifs.</w:t>
      </w:r>
    </w:p>
    <w:p>
      <w:r>
        <w:rPr>
          <w:b/>
        </w:rPr>
        <w:t>E. 8</w:t>
      </w:r>
    </w:p>
    <w:p>
      <w:r>
        <w:t>En l'espèce, il ressort des éléments du dossier que le projet de nouveau hangar n'est pas imminent, malgré un plan de construction daté du 13 octobre 2019. Aucune demande d'autorisation de construire n'a pour l'heure été déposée au département. Quoi qu'il en soit, le fait qu'une éventuelle autorisation de construire soit délivrée pour un nouveau hangar n'a aucun rapport avec la question de savoir si la construction actuelle a été érigée sans autorisation, justifiant sur le principe un ordre de démolition. Que le recourant ait de toute manière le projet de démolir cette construction est également sans rapport avec la légitimité juridique de la décision litigieuse. Ainsi, aucun motif de suspension au sens de l'art. 14 LPA est donc donné. La demande de suspension est donc rejetée.</w:t>
      </w:r>
    </w:p>
    <w:p>
      <w:r>
        <w:rPr>
          <w:b/>
        </w:rPr>
        <w:t>E. 9</w:t>
      </w:r>
    </w:p>
    <w:p>
      <w:r>
        <w:t>Dans le reste de son recours, le recourant conteste en substance l'ordre de remise en état.</w:t>
      </w:r>
    </w:p>
    <w:p>
      <w:r>
        <w:rPr>
          <w:b/>
        </w:rPr>
        <w:t>E. 10</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rPr>
          <w:b/>
        </w:rPr>
        <w:t>E. 11</w:t>
      </w:r>
    </w:p>
    <w:p>
      <w:r>
        <w:t>La zone agricole est en principe inconstructible. Aussi, le fait qu'une construction soit reconnue conforme à l'affectation de la zone ne signifie pas encore que le permis doit être délivré (ATF 129 II 413 consid. 3.2 ; 125 II 278 consid. 3a ; 123 II 499 consid. 3b/cc ; arrêt du Tribunal fédéral 1C_58/2017 du 18 octobre 2018 consid. 5). En effet, l'appréciation doit à titre général se faire à l'aune des buts et principes énoncés aux art. 1 et 3 LAT, notamment la préservation des terres cultivables (art. 3 al. 2 let. a LAT), l'intégration des constructions dans le paysage (art. 3 al. 2 let. b LAT), la protection des rives, des sites naturels et des forêts, mais également des autres prescriptions du droit fédéral, figurant notamment dans la loi fédérale sur la protection de l'environnement du 7 octobre 1983 (LPE - RS 814.01). En d'autres termes, l'admissibilité du projet doit être évaluée à la lumière d'une pesée complète des intérêts en présence (cf. ATF 134 II 97 consid. 3.1 ; 129 II 63 consid. 3.1 ; arrêts du Tribunal fédéral 1C_58/2017 du 18 octobre 2018 consid. 5 ; 1C_318/2017 du 11 juillet 2018 consid. 4.1 ; 1C_221/2016 du 10 juillet 2017 consid. 5.2.1 ; 1C_496/2015 du 23 septembre 2016 consid. 3.1.1).</w:t>
      </w:r>
    </w:p>
    <w:p>
      <w:r>
        <w:rPr>
          <w:b/>
        </w:rPr>
        <w:t>E. 12</w:t>
      </w:r>
    </w:p>
    <w:p>
      <w:r>
        <w:t>Que l'on se situe dans une zone à bâtir ou dans une zone impropre à la construction, telle qu'une zone agricole, l'art. 22 al. 1 LAT exige qu'une</w:t>
      </w:r>
    </w:p>
    <w:p>
      <w:r>
        <w:t>- 9/18 - A/778/2021 autorisation de construire soit délivrée par l'autorité compétente pour la création ou la transformation de toute construction ou installation (Frédéric BERNARD/Florian EGGER, Changement d'affectation d'un bâtiment et autorisation administrative, AJP/PJA 1/2021, p. 52).</w:t>
      </w:r>
    </w:p>
    <w:p>
      <w:r>
        <w:rPr>
          <w:b/>
        </w:rPr>
        <w:t>E. 13</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14</w:t>
      </w:r>
    </w:p>
    <w:p>
      <w:r>
        <w:t>Aucun travail ne doit être entrepris avant que l'autorisation n'ait été délivrée (art. 1 al. 7 1ère phrase LCI).</w:t>
      </w:r>
    </w:p>
    <w:p>
      <w:r>
        <w:rPr>
          <w:b/>
        </w:rPr>
        <w:t>E. 15</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16</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t>- 10/18 - A/778/2021</w:t>
      </w:r>
    </w:p>
    <w:p>
      <w:r>
        <w:rPr>
          <w:b/>
        </w:rPr>
        <w:t>E. 17</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rPr>
          <w:b/>
        </w:rPr>
        <w:t>E. 18</w:t>
      </w:r>
    </w:p>
    <w:p>
      <w:r>
        <w:t>Les propriétaires ou leurs mandataires, les entrepreneurs et les usagers sont tenus de se conformer aux mesures ordonnées par le département en application de ces deux dispositions (art. 131 LCI).</w:t>
      </w:r>
    </w:p>
    <w:p>
      <w:r>
        <w:rPr>
          <w:b/>
        </w:rPr>
        <w:t>E. 19</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et les arrêts cités).</w:t>
      </w:r>
    </w:p>
    <w:p>
      <w:r>
        <w:rPr>
          <w:b/>
        </w:rPr>
        <w:t>E. 20</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en droit public – notions, mesures administratives, sanctions, Journées suisses du droit de la construction, Fribourg 2019, p. 218).</w:t>
      </w:r>
    </w:p>
    <w:p>
      <w:r>
        <w:rPr>
          <w:b/>
        </w:rPr>
        <w:t>E. 21</w:t>
      </w:r>
    </w:p>
    <w:p>
      <w:r>
        <w:t>Afin de répondre à la question de la validité de la décision de remise en état, il convient d'examiner point par point le dispositif de ladite décision, ce qui correspond aux griefs du recourant.</w:t>
      </w:r>
    </w:p>
    <w:p>
      <w:r>
        <w:t>- 11/18 - A/778/2021</w:t>
      </w:r>
    </w:p>
    <w:p>
      <w:r>
        <w:rPr>
          <w:b/>
        </w:rPr>
        <w:t>E. 22</w:t>
      </w:r>
    </w:p>
    <w:p>
      <w:r>
        <w:t>Dans un premier grief, le recourant conteste l'élément du dispositif de la décision querellée au sujet du stationnement du car. Il est d'avis que cet élément de la décision est devenu sans objet, car il affirme avoir procédé à son enlèvement avant le prononcé de la décision, ce que l'autorité intimée aurait pu constater en procédant à un nouveau constat sur place.</w:t>
      </w:r>
    </w:p>
    <w:p>
      <w:r>
        <w:rPr>
          <w:b/>
        </w:rPr>
        <w:t>E. 23</w:t>
      </w:r>
    </w:p>
    <w:p>
      <w:r>
        <w:t>En l'espèce, il est manifeste que ce véhicule n'a aucun rapport avec l'activité agricole. Malgré ses déclarations, le recourant n'a fourni aucun moyen de preuve attestant de l'enlèvement du véhicule. Au demeurant, le recourant ne fournit pas plus d'explication sur la durée de cette mise à disposition d'un espace de stationnement, d'autant plus que l'on distingue sur une des photographies du véhicule que l'adresse de la société de transport est la même que celle de l'exploitation agricole. Il ressort aussi de la consultation des photographies aériennes du système d'information du territoire genevois (ci-après: SITG), qu'à plusieurs reprises, des cars ont été stationnés sur la parcelle, notamment en 2015, 2016 et 2018. Dans ces circonstances, l'autorité pouvait partir du principe qu'en l'absence d'indication contraires du recourant, lequel est tenu de collaborer, le véhicule était encore présent sur la parcelle. À cet égard, il convient de rappeler qu'un administré ne peut exiger de l'autorité, sans contrevenir aux règles de la bonne foi, qu'elle revienne constater in situ la correction des irrégularités constatées avant le prononcé de la décision (arrêt du Tribunal fédéral 1C_50/2020 du 8 octobre 2020 consid. 4). De plus, dans ses écritures et chargés de preuves, le recourant n'a toujours pas fourni de preuves attestant de l'enlèvement du véhicule, ce qui conduit le tribunal de céans à confirmer la position de l'autorité. A toutes fins utiles, le tribunal ajoutera que cette question n'est pas réellement pertinente, car s'il devait s'avérer que le recourant a depuis lors enlevé le car, c'est son recours, sur ce point, qui serait sans objet, et non la décision litigieuse.</w:t>
      </w:r>
    </w:p>
    <w:p>
      <w:r>
        <w:rPr>
          <w:b/>
        </w:rPr>
        <w:t>E. 24</w:t>
      </w:r>
    </w:p>
    <w:p>
      <w:r>
        <w:t>Le grief est donc rejeté.</w:t>
      </w:r>
    </w:p>
    <w:p>
      <w:r>
        <w:rPr>
          <w:b/>
        </w:rPr>
        <w:t>E. 25</w:t>
      </w:r>
    </w:p>
    <w:p>
      <w:r>
        <w:t>Le recourant conteste ensuite l'assujettissement à autorisation de construire des dépôts de balles d'ensilage.</w:t>
      </w:r>
    </w:p>
    <w:p>
      <w:r>
        <w:rPr>
          <w:b/>
        </w:rPr>
        <w:t>E. 26</w:t>
      </w:r>
    </w:p>
    <w:p>
      <w:r>
        <w:t>De jurisprudence constante, sont considérées comme des constructions ou des installations «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 (Arrêts du Tribunal fédéral 1A.257/2000 du 2 mai 2001 consid. 2a; 1A_276/2006 du 25 avril 2007 consid. 5.1).</w:t>
      </w:r>
    </w:p>
    <w:p>
      <w:r>
        <w:t>- 12/18 - A/778/2021</w:t>
      </w:r>
    </w:p>
    <w:p>
      <w:r>
        <w:rPr>
          <w:b/>
        </w:rPr>
        <w:t>E. 27</w:t>
      </w:r>
    </w:p>
    <w:p>
      <w:r>
        <w:t>La définition jurisprudentielle susmentionnée comporte quatre conditions cumulatives (Piermarco ZEN-RUFFINEN/Christine GUY-ECABERT, Aménagement du territoire, construction, expropriation, 2001, p. 214-218) : a. La création par la main de l'homme, excluant toute modification naturelle du terrain telle que des éboulis ; b.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 RUFFINEN/Christine GUY-ECABERT, op. cit. p. 215) ; c.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 d.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w:t>
      </w:r>
    </w:p>
    <w:p>
      <w:r>
        <w:t>- 13/18 - A/778/2021 son impact esthétique sur le paysage (Piermarco ZEN-RUFFINEN / Christine GUY-ECABERT, op. cit., p. 216).</w:t>
      </w:r>
    </w:p>
    <w:p>
      <w:r>
        <w:rPr>
          <w:b/>
        </w:rPr>
        <w:t>E. 28</w:t>
      </w:r>
    </w:p>
    <w:p>
      <w:r>
        <w:t>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des installations d'éclairage d'une montagne (ATF 123 II 256), une installation d'effraiement des oiseaux (arrêt du Tribunal fédéral 1C_136/2007) sont soumis à autorisation.</w:t>
      </w:r>
    </w:p>
    <w:p>
      <w:r>
        <w:rPr>
          <w:b/>
        </w:rPr>
        <w:t>E. 29</w:t>
      </w:r>
    </w:p>
    <w:p>
      <w:r>
        <w:t>Le critère apte à déterminer si une mesure est suffisamment significative pour être soumise à la procédure d'autorisation de construire consiste donc à savoir si cette mesure a, dans le cours normal des choses, des conséquences spatiales si importantes qu'il existe un intérêt du public ou des voisins à bénéficier d'un contrôle préalable. Dans cette approche fondée sur les impacts, les changements d'affectation ou les modifications de terrain sont assujettis à un permis de construire, dès lors qu'ils ont un impact important sur l'environnement et l'aménagement du territoire (arrêt du Tribunal fédéral 1C_505/2017 du 15 mai 2018 consid. 5c).</w:t>
      </w:r>
    </w:p>
    <w:p>
      <w:r>
        <w:rPr>
          <w:b/>
        </w:rPr>
        <w:t>E. 30</w:t>
      </w:r>
    </w:p>
    <w:p>
      <w:r>
        <w:t>Dans sa jurisprudence relatives aux cas limites, le Tribunal fédéral a jugé que des dépôts de neige temporaires durant la saison hivernale (3-4 mois), d'un point de vue paysager, ne différaient pas de la situation d'autres éléments provisoires en zone agricole tels que des tas de betteraves, des tas de bois ou des balles d'ensilage, lesquels ne sont en principe pas soumis à l'exigence d'autorisation de construire, car, en raison de la superficie relativement faible de la zone de dépôt, il ne fallait normalement pas s'attendre à des immissions significatives pour la zone résidentielle voisine. Le Tribunal fédéral a cependant précisé qu'il s'agissait d'un cas limite. Si des quantités considérables de neige devaient être régulièrement entreposées, une procédure d'autorisation de construire semblerait alors inévitable (arrêt du Tribunal fédéral 1C_505/2017 du 15 mai 2018 consid. 6.3 s.). Il ressort de cet arrêt que la notion d'aménagement durables et fixes doit être interprétée de manière large (RDAF 2019 I 480, p. 482).</w:t>
      </w:r>
    </w:p>
    <w:p>
      <w:r>
        <w:t>- 14/18 - A/778/2021</w:t>
      </w:r>
    </w:p>
    <w:p>
      <w:r>
        <w:rPr>
          <w:b/>
        </w:rPr>
        <w:t>E. 31</w:t>
      </w:r>
    </w:p>
    <w:p>
      <w:r>
        <w:t>Les principes énoncés dans cette jurisprudence peuvent être repris et appliqués au cas des dépôts de balles d'ensilage, lesquels, comme les dépôts de neige, sont élevés de manière temporaire en vue de la mauvaise saison et peuvent, suivant les cas, être de dimensions importantes. Il en ressort qu'en principe, les balles d'ensilage ne sont pas soumises à autorisation de construire, mais qu'en fonction de la situation concrète, un tel assujettissement n'est pas exclu.</w:t>
      </w:r>
    </w:p>
    <w:p>
      <w:r>
        <w:rPr>
          <w:b/>
        </w:rPr>
        <w:t>E. 32</w:t>
      </w:r>
    </w:p>
    <w:p>
      <w:r>
        <w:t>En l'espèce, il s'agit manifestement d'un cas limite qui doit être étudié selon les circonstances concrètes. Si, en général, il est courant d'apercevoir de tels éléments sur une exploitation agricole, dans le cas d'espèce, d'après le reportage photographique produit par le département, ces balles d'ensilage occupent d'importantes surfaces et sont empilées à une hauteur importante, sur une bonne partie de la parcelle, en dehors du hangar prévu à cet effet. Après consultation du SITG, il apparait que ces mêmes espaces de stockage extérieurs sont régulièrement utilisés, au fil des ans, pour stocker ces éléments agricoles en vue de la mauvaise saison. Ainsi, bien qu'ils ne soient pas utilisés à cette fin toute l'année, il apparait que l'utilisation de ces espaces de stockage est régulière, au fil des ans, et que même si le nombre exact de balles d'ensilage varie, il reste important. Ces dépôts de balles d'ensilage, résultant de la main de l'homme, sont dès lors réguliers et importants, de sorte qu'ils remplissent les conditions de durabilité et d'emprise au sol. Bien que situés dans une zone agricole, ces dépôts ont un impact visuel et paysager. Par exemple, l'empilement de balles d'ensilage à l'ouest de la parcelle atteint quasiment la hauteur de l'avant-toit du hangar existant et est presque de la même longueur que ce bâtiment. Ce dépôt présente ainsi des dimensions analogues à celles d'une construction agricole soumise à autorisation de construire, à l'image du hangar projeté par le recourant. Au demeurant, le fait que ces dépôts de balles d'ensilage soient conformes à l'affectation de la zone n'est pas pertinent au sujet de l'assujettissement ou non à autorisation de construire. Ainsi, les conditions jurisprudentielles sont remplies, de sorte qu'il apparait nécessaire, dans le cas d'espèce, de soumettre ces empilements de balles d'ensilage à autorisation de construire. La suppression des espaces de stockages éparses prévus par la décision querellée n'est donc pas contraire au droit, dès lors que ces espaces auraient dû faire l'objet d'une autorisation de construire. Il en va de même des autres éléments stockés et évoqués par le département. Sur ce point également, la décision du département doit donc être confirmée.</w:t>
      </w:r>
    </w:p>
    <w:p>
      <w:r>
        <w:rPr>
          <w:b/>
        </w:rPr>
        <w:t>E. 33</w:t>
      </w:r>
    </w:p>
    <w:p>
      <w:r>
        <w:t>Le grief est donc également rejeté.</w:t>
      </w:r>
    </w:p>
    <w:p>
      <w:r>
        <w:rPr>
          <w:b/>
        </w:rPr>
        <w:t>E. 34</w:t>
      </w:r>
    </w:p>
    <w:p>
      <w:r>
        <w:t>Le recourant fait ensuite valoir que la démolition du bungalow et la remise en état du terrain sur lequel il se trouve serait sans objet, car les exploitants devraient bientôt déposer une demande d'autorisation de construire un nouveau hangar agricole sur cet espace.</w:t>
      </w:r>
    </w:p>
    <w:p>
      <w:r>
        <w:t>- 15/18 - A/778/2021</w:t>
      </w:r>
    </w:p>
    <w:p>
      <w:r>
        <w:rPr>
          <w:b/>
        </w:rPr>
        <w:t>E. 35</w:t>
      </w:r>
    </w:p>
    <w:p>
      <w:r>
        <w:t>S'agissant plus particulièrement de la suppression du bungalow et la remise en terrain du terrain naturel, le recourant invoque que ce bâtiment provisoire a été mis en place afin de procéder à la transformation et à de la vente directe de produits de la ferme. Si la question de la compatibilité à la zone agricole d'une telle activité accessoire ne constitue par l'objet de la présente procédure, il n'en demeure pas moins que la mise en place d'un bungalow à cet effet nécessite la délivrance d'une autorisation de construire, car il répond manifestement aux conditions fixées par la jurisprudence. En effet, après consultation du SITG, le bungalow est présent toute au long de l'année sur le terrain, au même endroit, depuis 2016, et exerce manifestement une influence sur l'affectation agricole de la zone, dès lors qu'il s'agit d'une activité de transformation et de vente des produits de la ferme à des particuliers. Or, ce bungalow a été érigé sans aucune autorisation de construire. Le fait que les exploitants projettent de déposer une demande d'autorisation de construire de nouveaux locaux nécessaires au déploiement de cette activité accessoire et que ce bungalow ne soit qu'une solution provisoire n'y change rien. Au demeurant, les arguments invoqués par le recourant s'agissant de la nécessité de la construction d'un nouveau hangar, aussi pertinents et justifiés soient-ils, ne lui sont d'aucun secours dans la présente procédure. Ces arguments sont en effet en lien avec l'instruction du projet de dépôt d'une demande d'autorisation de construire concernant un nouvel hangar agricole, mais ne changent en rien les constatations opérées par le département au sujet de la situation actuelle. Dans ces circonstances, l'ordre de remise en état doit aussi être confirmé sur ce point, le grief correspondant étant écarté.</w:t>
      </w:r>
    </w:p>
    <w:p>
      <w:r>
        <w:rPr>
          <w:b/>
        </w:rPr>
        <w:t>E. 36</w:t>
      </w:r>
    </w:p>
    <w:p>
      <w:r>
        <w:t>Dans un autre grief, le recourant conteste la nécessité de reconstituer le sol afin qu'il soit apte à être exploité pour l'agriculture, la parcelle ne figurant en outre pas à l'inventaire des surface d'assolement.</w:t>
      </w:r>
    </w:p>
    <w:p>
      <w:r>
        <w:rPr>
          <w:b/>
        </w:rPr>
        <w:t>E. 37</w:t>
      </w:r>
    </w:p>
    <w:p>
      <w:r>
        <w:t>Selon l'art. 33 al. 2 de la loi fédérale sur la protection de l'environnement du 7 octobre 1983 (LPE - RS 814.01), il n'est permis de porter atteinte physiquement à un sol que dans la mesure où sa fertilité n'en est pas altérée durablement.</w:t>
      </w:r>
    </w:p>
    <w:p>
      <w:r>
        <w:rPr>
          <w:b/>
        </w:rPr>
        <w:t>E. 38</w:t>
      </w:r>
    </w:p>
    <w:p>
      <w:r>
        <w:t>L'ordonnance sur les atteintes portées aux sols du 1er juillet 1998 (OSol - RS 814.12) régit notamment, afin de garantir à long terme la fertilité du sol, l'observation, la surveillance et l'évaluation des atteintes chimiques, biologiques et physiques portées aux sols ainsi que les mesures destinées à prévenir les compactions persistantes et l'érosion (art. 1 let. a et b).</w:t>
      </w:r>
    </w:p>
    <w:p>
      <w:r>
        <w:rPr>
          <w:b/>
        </w:rPr>
        <w:t>E. 39</w:t>
      </w:r>
    </w:p>
    <w:p>
      <w:r>
        <w:t>On entend par atteintes physiques aux sols les atteintes à la structure, à la succession des couches pédologiques ou à l'épaisseur des sols résultant d'interventions humaines (art. 2 al. 4 OSol). Quiconque construit une installation,</w:t>
      </w:r>
    </w:p>
    <w:p>
      <w:r>
        <w:t>- 16/18 - A/778/2021 exploite un sol ou l'occupe d'une autre manière doit, en tenant compte des caractéristiques physiques du sol et de son état d'humidité, choisir et utiliser des véhicules, des machines et des outils de manière à prévenir les compactions et les autres modifications de la structure des sols qui pourraient menacer la fertilité du sol à long terme (6 al. 1 OSol).</w:t>
      </w:r>
    </w:p>
    <w:p>
      <w:r>
        <w:rPr>
          <w:b/>
        </w:rPr>
        <w:t>E. 40</w:t>
      </w:r>
    </w:p>
    <w:p>
      <w:r>
        <w:t>En l'espèce, dans ses écritures, le recourant reconnait avoir procédé à un décapage du sol en vue d'y ériger un bungalow. Il a donc porté physiquement atteinte au sol. Dès lors que le bungalow a été érigé illégalement, on ne voit pas ce qui s'opposerait juridiquement à ce que le département ordonne la remise en état du terrain, qui comprend, outre le débarras du bungalow, la restitution des qualités initiales du terrain avant le décapage. Au demeurant, la note inscrite dans la décision faisant référence aux surfaces d'assolement n'était qu'indicative. Il ne s'agissait pas d'imposer des exigences de qualité supérieures aux caractéristiques initiales du sol, mais uniquement d'assurer le respect de certains principes afin d'accomplir la reconstitution du terrain dans les règles de l'art. L'ordre de remise en état doit dès lors également être confirmé sur ce point et le grief correspondant écarté.</w:t>
      </w:r>
    </w:p>
    <w:p>
      <w:r>
        <w:rPr>
          <w:b/>
        </w:rPr>
        <w:t>E. 41</w:t>
      </w:r>
    </w:p>
    <w:p>
      <w:r>
        <w:t>Enfin, dans un dernier grief, le recourant fait valoir que le délai de 60 jours serait disproportionné car il ne serait pas suffisant pour stocker les balles d'ensilage à l'intérieur, faute de place.</w:t>
      </w:r>
    </w:p>
    <w:p>
      <w:r>
        <w:rPr>
          <w:b/>
        </w:rPr>
        <w:t>E. 42</w:t>
      </w:r>
    </w:p>
    <w:p>
      <w:r>
        <w:t>En l'espèce, le recourant a déjà été soumis à un délai de 60 jours pour rétablir une précédente situation d'irrégularité exigeant le déplacement de nombreux objets et matériaux de chantier de sa parcelle. À cet effet, le délai avait été pleinement suffisant. Au surplus, il sera rappelé au recourant que celui qui place l'autorité devant le fait accompli doit s'attendre à ce qu'elle se préoccupe davantage de rétablir une situation conforme au droit que des inconvénients pouvant en découler pour lui.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La mise en conformité de leur parcelle dans le délai imparti doit ainsi primer l'intérêt privé du recourant.</w:t>
      </w:r>
    </w:p>
    <w:p>
      <w:r>
        <w:rPr>
          <w:b/>
        </w:rPr>
        <w:t>E. 43</w:t>
      </w:r>
    </w:p>
    <w:p>
      <w:r>
        <w:t>Force est donc de constater pour le tribunal de céans que les éléments du dispositif de la décision querellée sont tous conformes au droit.</w:t>
      </w:r>
    </w:p>
    <w:p>
      <w:r>
        <w:rPr>
          <w:b/>
        </w:rPr>
        <w:t>E. 44</w:t>
      </w:r>
    </w:p>
    <w:p>
      <w:r>
        <w:t>En conclusion, il découle des développements qui précèdent que l'ordre de remise en conformité au droit remplit les conditions posées par la jurisprudence et doit être confirmé. En effet, il est dirigé contre le propriétaire de la parcelle, soit le</w:t>
      </w:r>
    </w:p>
    <w:p>
      <w:r>
        <w:t>- 17/18 - A/778/2021 perturbateur, à tout le moins par situation. Les constructions et installations en cause n'ont jamais été autorisées au moment de leur réalisation et auraient dû l'être. De plus, un délai de trente ans ne s'est pas écoulé depuis. Enfin, exiger du recourant la remise en conformité au droit n'est pas contraire au principe de proportionnalité dans la mesure où les constructions et installations litigieuses ne représentent pas des dérogations mineures et qu'il ne pouvait pas croire, sur la base de la bonne foi, que celles-ci pouvaient être déployées sans autre, dès lors qu'il avait été précédemment sanctionné pour des faits similaires et avait reçu l'indication du chef du département que seules des fins strictement agricoles pourraient être suivies sur sa parcelle. Par son comportement, le recourant démontre au contraire qu'il se soucie peu de la réglementation en vigueur et privilégie une attitude consistant à mettre l'autorité devant le fait accompli. Les conséquences qui en découlent pour lui, même si elles sont rigoureuses, sont en rapport avec l'importance des éléments installés illégalement sur sa parcelle.</w:t>
      </w:r>
    </w:p>
    <w:p>
      <w:r>
        <w:rPr>
          <w:b/>
        </w:rPr>
        <w:t>E. 45</w:t>
      </w:r>
    </w:p>
    <w:p>
      <w:r>
        <w:t>Entièrement mal fondé, le recours doit être rejeté.</w:t>
      </w:r>
    </w:p>
    <w:p>
      <w:r>
        <w:rPr>
          <w:b/>
        </w:rPr>
        <w:t>E. 46</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de même montant versée à la suite du dépôt du recours. Vu l’issue du litige, aucune indemnité de procédure ne sera allouée (art. 87 al. 2 LPA).</w:t>
      </w:r>
    </w:p>
    <w:p>
      <w:r>
        <w:t>- 18/18 - A/778/2021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