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JTAPI/1107/2024 vom 11. November 2024</w:t>
      </w:r>
    </w:p>
    <w:p>
      <w:r>
        <w:t>GE Cour de justice, 2024-11-11, FR</w:t>
      </w:r>
    </w:p>
    <w:p>
      <w:r>
        <w:rPr>
          <w:b/>
        </w:rPr>
        <w:t xml:space="preserve">Quelle: </w:t>
      </w:r>
      <w:r>
        <w:t>https://mcp.opencaselaw.ch/entscheid/ge_gerichte_JTAPI_1107_2024</w:t>
      </w:r>
    </w:p>
    <w:p>
      <w:r>
        <w:t>FR: GE_GERICHTE JTAPI/1107/2024 du 11 novembre 2024</w:t>
      </w:r>
    </w:p>
    <w:p>
      <w:r>
        <w:t>IT: GE_GERICHTE JTAPI/1107/2024 del 11 novembre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w:t>
      </w:r>
    </w:p>
    <w:p>
      <w:r>
        <w:t>- 4/8 - A/715/2024</w:t>
      </w:r>
    </w:p>
    <w:p>
      <w:r>
        <w:rPr>
          <w:b/>
        </w:rPr>
        <w:t>E. 3</w:t>
      </w:r>
    </w:p>
    <w:p>
      <w:r>
        <w:t>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w:t>
      </w:r>
    </w:p>
    <w:p>
      <w:r>
        <w:rPr>
          <w:b/>
        </w:rPr>
        <w:t>E. 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t>- 5/8 - A/715/2024</w:t>
      </w:r>
    </w:p>
    <w:p>
      <w:r>
        <w:rPr>
          <w:b/>
        </w:rPr>
        <w:t>E. 9</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10</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11</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12</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w:t>
      </w:r>
    </w:p>
    <w:p>
      <w:r>
        <w:rPr>
          <w:b/>
        </w:rPr>
        <w:t>E. 13</w:t>
      </w:r>
    </w:p>
    <w:p>
      <w:r>
        <w:t>Selon l'al. 2 de cette disposition, le médecin qui procède à l'examen d'évaluation de l'aptitude à la conduite doit : a) avoir obtenu une reconnaissance de niveau 4 dans les cas visés à l'art. 15d al. 1 let. a et b LCR; b) avoir obtenu au minimum une reconnaissance de niveau 3 dans les cas visés à l'art. 15d al. 1 let. d et e LCR.</w:t>
      </w:r>
    </w:p>
    <w:p>
      <w:r>
        <w:rPr>
          <w:b/>
        </w:rPr>
        <w:t>E. 14</w:t>
      </w:r>
    </w:p>
    <w:p>
      <w:r>
        <w:t>Aux termes de l'art. 16d al. 1 let. b LCR, le permis d'élève conducteur ou le permis de conduire est retiré pour une durée indéterminée à la personne qui souffre d'une forme de dépendance la rendant inapte à la conduite.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w:t>
      </w:r>
    </w:p>
    <w:p>
      <w:r>
        <w:t>- 6/8 - A/715/2024 p. 86; 127 II 122 consid. 3c p. 126; 124 II 559 consid. 3d p. 564; arrêt 1C_328/2013 du 18 septembre 2013 consid. 3.1).</w:t>
      </w:r>
    </w:p>
    <w:p>
      <w:r>
        <w:rPr>
          <w:b/>
        </w:rPr>
        <w:t>E. 15</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16</w:t>
      </w:r>
    </w:p>
    <w:p>
      <w:r>
        <w:t>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w:t>
      </w:r>
    </w:p>
    <w:p>
      <w:r>
        <w:rPr>
          <w:b/>
        </w:rPr>
        <w:t>E. 17</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18</w:t>
      </w:r>
    </w:p>
    <w:p>
      <w:r>
        <w:t>Un tel doute peut reposer sur de simples indices, en particulier lorsqu'il en va d'une dépendance en matière de produits stupéfiants (cf. arrêt du Tribunal fédéral 1C_593/2012 du 28 mars 2013 consid. 3.1).</w:t>
      </w:r>
    </w:p>
    <w:p>
      <w:r>
        <w:rPr>
          <w:b/>
        </w:rPr>
        <w:t>E. 19</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w:t>
      </w:r>
    </w:p>
    <w:p>
      <w:r>
        <w:t>- 7/8 - A/715/2024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20</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21</w:t>
      </w:r>
    </w:p>
    <w:p>
      <w:r>
        <w:t>Selon le Guide d’aptitude à la conduite du 27 novembre 2020, en matière de stupéfiants, dans le cadre d’une consommation répétée de cocaïne, d’héroïne ou d’amphétamines au cours des six derniers mois, la détermination de l’aptitude à la conduite se fait par une expertise de niveau 4, avec en règle général un retrait préventif du permis de conduire, selon l’art. 15d al. 1 LCR et 28a OAC.</w:t>
      </w:r>
    </w:p>
    <w:p>
      <w:r>
        <w:rPr>
          <w:b/>
        </w:rPr>
        <w:t>E. 22</w:t>
      </w:r>
    </w:p>
    <w:p>
      <w:r>
        <w:t>En l'espèce, la question à trancher est celle de savoir s'il existe des doutes suffisants quant à l'aptitude à la conduite du recourant, susceptibles de justifier la mise en œuvre d'une expertise.</w:t>
      </w:r>
    </w:p>
    <w:p>
      <w:r>
        <w:rPr>
          <w:b/>
        </w:rPr>
        <w:t>E. 23</w:t>
      </w:r>
    </w:p>
    <w:p>
      <w:r>
        <w:t>Pour fonder sa décision, l’OCV s'appuie sur le fait que le recourant a reconnu par- devant la police lors de son audition du 8 décembre 2023 et dans ses observations du 9 février 2024, qu'il consomme de la cocaïne depuis dix ans, à raison d'une à deux fois par semaine. La consommation du recourant est d'ailleurs corroborée par les déclarations de son fournisseur qui a indiqué lui avoir vendu de la cocaïne, une à deux fois par semaine, entre décembre 2022 et décembre 2023 environ. Dès lors, c’est à juste titre que l’OCV conçoit des doutes sérieux sur l’aptitude à la conduite du recourant et a ordonné une expertise auprès d’un médecin de niveau 4.</w:t>
      </w:r>
    </w:p>
    <w:p>
      <w:r>
        <w:rPr>
          <w:b/>
        </w:rPr>
        <w:t>E. 24</w:t>
      </w:r>
    </w:p>
    <w:p>
      <w:r>
        <w:t>Mal fondé, le recours sera rejeté.</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26</w:t>
      </w:r>
    </w:p>
    <w:p>
      <w:r>
        <w:t>Vu l’issue du litige, aucune indemnité de procédure ne sera allouée (art. 87 al. 2 LPA)</w:t>
      </w:r>
    </w:p>
    <w:p>
      <w:r>
        <w:t>- 8/8 - A/715/2024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