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JTAPI/1100/2018 vom 12. November 2018</w:t>
      </w:r>
    </w:p>
    <w:p>
      <w:r>
        <w:t>GE Cour de justice, 2018-11-12, FR</w:t>
      </w:r>
    </w:p>
    <w:p>
      <w:r>
        <w:rPr>
          <w:b/>
        </w:rPr>
        <w:t xml:space="preserve">Quelle: </w:t>
      </w:r>
      <w:r>
        <w:t>https://mcp.opencaselaw.ch/entscheid/ge_gerichte_JTAPI_1100_2018</w:t>
      </w:r>
    </w:p>
    <w:p>
      <w:r>
        <w:t>FR: GE_GERICHTE JTAPI/1100/2018 du 12 novembre 2018</w:t>
      </w:r>
    </w:p>
    <w:p>
      <w:r>
        <w:t>IT: GE_GERICHTE JTAPI/1100/2018 del 12 novembre 2018</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L’art. 49 al. 1 LPFisc dispose que le contribuable peut s'opposer à la décision sur réclamation du département en s'adressant, dans les trente jours à compter de la notification de la décision attaquée, au Tribunal administratif de première instance. En revanche, lorsqu’il est prématuré, le recours est déclaré irrecevable (cf. not. ATA/1341/2015 du 15 décembre 2015, applicable par analogie ; JTAPI/229/2017 du 27 février 2017).</w:t>
      </w:r>
    </w:p>
    <w:p>
      <w:r>
        <w:rPr>
          <w:b/>
        </w:rPr>
        <w:t>E. 3</w:t>
      </w:r>
    </w:p>
    <w:p>
      <w:r>
        <w:t>En tant qu’il porte sur l’ICC 2012 et 2013, interjeté en temps utile et dans les formes prescrites devant la juridiction compétente, le recours est recevable au sens de l’art. 49 LPFisc.</w:t>
      </w:r>
    </w:p>
    <w:p>
      <w:r>
        <w:rPr>
          <w:b/>
        </w:rPr>
        <w:t>E. 4</w:t>
      </w:r>
    </w:p>
    <w:p>
      <w:r>
        <w:t>Dans leur acte de recours du 23 avril 2018, les recourants ont indiqué que leurs conclusions étaient valables également pour les années fiscales 2014 à 2019. Ils ont ensuite indiqué, par lettre du 4 mai 2018, que leur recours portait sur les années 2014 à 2016, sans toutefois produire les décisions sur réclamation y relatives. Pour sa part, l’AFC-GE a confirmé, par lettre du 22 mai 2018, qu’aucune décision sur réclamation n’avait été rendue pour les années fiscales 2014 et suivantes. Par conséquent, en l’absence de décision sur réclamation rendue par l’AFC-GE concernant les taxations ICC 2014 et suivantes, le recours est prématuré. Il sera dès lors déclaré irrecevable pour les années fiscales 2014 et suivantes.</w:t>
      </w:r>
    </w:p>
    <w:p>
      <w:r>
        <w:t>- 10/23 - A/1330/2018</w:t>
      </w:r>
    </w:p>
    <w:p>
      <w:r>
        <w:rPr>
          <w:b/>
        </w:rPr>
        <w:t>E. 5</w:t>
      </w:r>
    </w:p>
    <w:p>
      <w:r>
        <w:t>En vertu de l’art. 51 al. 1 LPFisc, le tribunal prend sa décision après instruction du recours. Il peut à nouveau déterminer tous les éléments imposables et, après avoir entendu le contribuable, il peut également modifier la taxation au désavantage de ce dernier.</w:t>
      </w:r>
    </w:p>
    <w:p>
      <w:r>
        <w:rPr>
          <w:b/>
        </w:rPr>
        <w:t>E. 6</w:t>
      </w:r>
    </w:p>
    <w:p>
      <w:r>
        <w:t>Les recourants estiment devoir être imposés sur la fortune pour six mille actions F______ au lieu de dix mille actions. Ils allèguent que six mille actions avaient été libérées, les quatre mille restantes demeurant impayées et constituant une dette de leur part vis-à-vis de la société.</w:t>
      </w:r>
    </w:p>
    <w:p>
      <w:r>
        <w:rPr>
          <w:b/>
        </w:rPr>
        <w:t>E. 7</w:t>
      </w:r>
    </w:p>
    <w:p>
      <w:r>
        <w:t>À teneur de l’art. 47 let. b LIPP, les actions sont soumises à l’impôt sur la fortune.</w:t>
      </w:r>
    </w:p>
    <w:p>
      <w:r>
        <w:rPr>
          <w:b/>
        </w:rPr>
        <w:t>E. 8</w:t>
      </w:r>
    </w:p>
    <w:p>
      <w:r>
        <w:t>Lors de la fondation d’une SA, les actionnaires s’engagent, de façon inconditionnelle, à libérer le montant qui correspond au prix d’émission fixé lors de la souscription des actions (Pascal MONTAVON, Abrégé de droit commercial, 2017, p. 350 ch. 1). Si la libération des actions nominatives n’a pas été entière lors de la fondation, le « non versé » peut être réclamé en tout temps par le conseil d’administration selon l’art. 634a al. 1 du code des obligations du 30 mars 1911 (CO – RS 220 ; Pascal MONTAVON, op. cit., p. 351 ch. 1).</w:t>
      </w:r>
    </w:p>
    <w:p>
      <w:r>
        <w:rPr>
          <w:b/>
        </w:rPr>
        <w:t>E. 9</w:t>
      </w:r>
    </w:p>
    <w:p>
      <w:r>
        <w:t>En l’espèce, il ressort du registre du commerce du canton de G______ que le capital-actions de F______ est composé de dix mille actions nominatives de CHF</w:t>
      </w:r>
    </w:p>
    <w:p>
      <w:r>
        <w:rPr>
          <w:b/>
        </w:rPr>
        <w:t>E. 10</w:t>
      </w:r>
    </w:p>
    <w:p>
      <w:r>
        <w:t>Au vu de tous ces éléments, le tribunal considère que les recourants détiennent la totalité des actions de F______, soit dix mille actions. Étant donné que celles-ci sont libérées à hauteur de 60%, le 40% restant à payer constitue une dette des recourants à l’égard de la société, soit CHF 40'000.-. Ce montant devra être déduit de la fortune imposable des recourants pour les années 2012 et 2013 au titre de</w:t>
      </w:r>
    </w:p>
    <w:p>
      <w:r>
        <w:t>- 11/23 - A/1330/2018 dette chirographaire. En contrepartie, les recourants ont l’obligation de déclarer les dix mille actions de cette société.</w:t>
      </w:r>
    </w:p>
    <w:p>
      <w:r>
        <w:rPr>
          <w:b/>
        </w:rPr>
        <w:t>E. 11</w:t>
      </w:r>
    </w:p>
    <w:p>
      <w:r>
        <w:t>Il s’agit maintenant de déterminer la valeur imposable de ces dix mille actions.</w:t>
      </w:r>
    </w:p>
    <w:p>
      <w:r>
        <w:rPr>
          <w:b/>
        </w:rPr>
        <w:t>E. 12</w:t>
      </w:r>
    </w:p>
    <w:p>
      <w:r>
        <w:t>L'état de la fortune mobilière et immobilière est établi au 31 décembre de l'année pour laquelle l'impôt est dû (art. 49 al. 1 LIPP). La fortune est estimée, en général, à la valeur vénale (art. 49 al. 2 LIPP).</w:t>
      </w:r>
    </w:p>
    <w:p>
      <w:r>
        <w:rPr>
          <w:b/>
        </w:rPr>
        <w:t>E. 13</w:t>
      </w:r>
    </w:p>
    <w:p>
      <w:r>
        <w:t>L'art. 14 al. 1 2ème phr. de la loi fédérale sur l'harmonisation des impôts directs des cantons et des communes du 14 décembre 1990 (LHID – RS 642.14) dispose toutefois que la valeur de rendement peut être prise en considération de façon appropriée.</w:t>
      </w:r>
    </w:p>
    <w:p>
      <w:r>
        <w:rPr>
          <w:b/>
        </w:rPr>
        <w:t>E. 14</w:t>
      </w:r>
    </w:p>
    <w:p>
      <w:r>
        <w:t>L’évaluation des titres non cotés a fait l’objet, en 1995, d’une circulaire de la Conférence suisse des impôts (CSI), qui regroupe les administrations fiscales cantonales et l'administration fédérale des contributions, intitulée : « Instructions concernant l’estimation des titres non cotés en vue de l’impôt sur la fortune ». Elle a été remplacée par la circulaire CSI n. 28 dans une première version du 21 août 2006, puis par l'actuelle datant du 28 août 2008. La CSI édite en outre annuellement un commentaire de la circulaire CSI n. 28, la dernière version datant de 2017 (ci-après : commentaire 2017).</w:t>
      </w:r>
    </w:p>
    <w:p>
      <w:r>
        <w:rPr>
          <w:b/>
        </w:rPr>
        <w:t>E. 15</w:t>
      </w:r>
    </w:p>
    <w:p>
      <w:r>
        <w:t>Le Tribunal fédéral a validé son application depuis plusieurs années en soulignant qu'en prévoyant des règles unifiées d'estimation des titres non cotés en vue de leur imposition sur la fortune dans un domaine où les cantons jouissent d'un large pouvoir d'appréciation, les instructions poursuivaient un but d'harmonisation fiscale horizontale et concrétisaient ainsi l'art. 14 al. 1 LHID. Elles prennent en compte les éléments déterminants pour l’évaluation des titres non cotés et sont appropriées pour l’estimation des sociétés en vue de l’imposition sur la fortune des actionnaires (cf. not. arrêts 2C_11/2017 du 11 janvier 2017 consid. 5.1 ; 2C_583/2013 du 23 décembre 2013 consid. 3.1.3 ; 2C_504/2009 du 15 avril 2010 consid. 3.3 et les références citées).</w:t>
      </w:r>
    </w:p>
    <w:p>
      <w:r>
        <w:rPr>
          <w:b/>
        </w:rPr>
        <w:t>E. 16</w:t>
      </w:r>
    </w:p>
    <w:p>
      <w:r>
        <w:t>À Genève, la LIPP ne contient pas de renvoi aux instructions de la circulaire CSI n. 28, mais la chambre administrative de la Cour de justice (ci-après : la chambre administrative) et le tribunal de céans les applique régulièrement aux fins d’estimer les titres d’une société non cotée en bourse (cf. not. ATA/856/2018 du</w:t>
      </w:r>
    </w:p>
    <w:p>
      <w:r>
        <w:rPr>
          <w:b/>
        </w:rPr>
        <w:t>E. 21</w:t>
      </w:r>
    </w:p>
    <w:p>
      <w:r>
        <w:t>L’appréciation de la valeur substantielle se base sur les comptes annuels (ch. 11.1 de la circulaire CSI n. 28).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de la circulaire CSI n. 28). Les titres et participations non cotés sont estimés selon la circulaire, mais au minimum à leur valeur comptable (ch. 24.1 de la circulaire CSI n. 28). En principe, il est tenu compte des impôts latents par une déduction de 15 % sur les réserves latentes non imposées prises en compte pour l’estimation, les impôts latents étant les impôts à payer lors de la dissolution des réserves latentes comprises dans le calcul de la valeur substantielle mais non encore imposées comme bénéfice (ch. 31.1 de la circulaire CSI n. 28). Aucune déduction ne sera accordée pour les impôts latents sur des participations au bénéfice de la réduction pour participation (ch. 31.3 de la circulaire CSI n. 28, qui renvoie à l’art. 28 al. 1 et 1bis LHID).</w:t>
      </w:r>
    </w:p>
    <w:p>
      <w:r>
        <w:rPr>
          <w:b/>
        </w:rPr>
        <w:t>E. 22</w:t>
      </w:r>
    </w:p>
    <w:p>
      <w:r>
        <w:t>Le ch. 3 de la circulaire CSI n. 28 prévoit que le calcul de la valeur vénale des titres non cotés est établi en principe par l’administration des contributions du canton du siège de la société. Selon le Commentaire 2017 (p. 8 n. 28), l’autorité de taxation n’est pas liée obligatoirement à l’estimation des actions établies par le canton de siège. Toutefois, si elle n’a pas de motifs concrets pour s’écarter de ladite estimation, elle peut donc se baser sur la valeur de l’autre canton (KGr FR du 5.6.2009 = STE 2010 B 93.4 n. 6).</w:t>
      </w:r>
    </w:p>
    <w:p>
      <w:r>
        <w:rPr>
          <w:b/>
        </w:rPr>
        <w:t>E. 23</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 Concernant les titres non cotés en bourse, si leur estimation est effectuée sur la base de la circulaire, il convient alors de supposer que l’estimation aboutit à une valeur vénale correcte et que, par ce calcul, l’autorité fiscale a apporté une preuve</w:t>
      </w:r>
    </w:p>
    <w:p>
      <w:r>
        <w:t>- 14/23 - A/1330/2018 suffisante. Si le contribuable est d’un avis contraire, il lui appartient dès lors d’apporter ses propres preuves (commentaire 2017 p. 3 ad ch. 1).</w:t>
      </w:r>
    </w:p>
    <w:p>
      <w:r>
        <w:rPr>
          <w:b/>
        </w:rPr>
        <w:t>E. 24</w:t>
      </w:r>
    </w:p>
    <w:p>
      <w:r>
        <w:t>En l’espèce, les recourants sont les seuls actionnaires et sont employés de F______, laquelle est une société de service spécialisée dans le conseil en management. Ils allèguent avoir réduit progressivement leur taux d’occupation afin de consacrer plus de temps à leur vie de famille, ce qui a eu pour effet de réduire les ressources de l’entreprise de 75%. Ils estiment que le mode de calcul effectué par les autorités fiscales du canton de G______, conformément à la circulaire CSI n. 28, ne tient pas compte de la valeur réelle de leur société. Les trois sociétés britanniques de conseil qui avaient autrefois appartenu au recourant avaient été liquidées, sans trouver de repreneur, à une valeur nulle et il n’existait pas en Suisse et en Allemagne un marché pour la vente d’entreprises similaires à F______. Se fondant sur des valeurs proposées pour l’estimation de bureaux d’études aux États-Unis, les recourants soutiennent que les chiffres calculés par les autorités fiscales de G______ sont bien trop élevés et concluent finalement à une valeur de liquidation de CHF 60'000.-.</w:t>
      </w:r>
    </w:p>
    <w:p>
      <w:r>
        <w:rPr>
          <w:b/>
        </w:rPr>
        <w:t>E. 25</w:t>
      </w:r>
    </w:p>
    <w:p>
      <w:r>
        <w:t>Hormis cette vague estimation pour bureaux d’études américains, les recourants ne proposent pas de mode de calcul objectif et concret susceptible de remplacer la méthode préconisée par la circulaire CSI n. 28. Cette dernière a l’avantage de permettre de déterminer de manière claire et objective la valeur d’une entreprise et d’assurer ainsi, autant que possible, une égalité de traitement entre les contribuables détenteurs d’actions non cotées en bourse. Les recourants font valoir qu’ils ne pourraient pas vendre leurs actions au prix déterminé par l’AFC-GE, dès lors que leur société repose exclusivement sur leurs performances individuelles. Ils ne démontrent cependant pas la réalité de leurs allégués, en dépit des règles sur le fardeau de la preuve rappelées ci-dessus. À cet égard, les autorités fiscales de G______ ont procédé à une estimation applicable aux sociétés de services dépendantes de la performance individuelle de l’actionnaire, en pondérant une seule fois (au lieu de deux fois) la valeur de rendement et la valeur substantielle. La méthode appliquée étant ainsi conforme à la circulaire CSI n. 28, l’AFC-GE n’avait aucune raison de s’en écarter.</w:t>
      </w:r>
    </w:p>
    <w:p>
      <w:r>
        <w:rPr>
          <w:b/>
        </w:rPr>
        <w:t>E. 26</w:t>
      </w:r>
    </w:p>
    <w:p>
      <w:r>
        <w:t>L’AFC-GE a par ailleurs relevé que la valeur fiscale des actions pour l’année fiscale 2012 était favorable aux recourants, dès lors qu’elle avait pris en compte un montant de CHF 107.- par action, au lieu de CHF 213.- calculé par le canton de G______. Le tribunal observe de surcroît que ce dernier montant n’a pas non plus été retenu par l’AFC-GE pour l’année fiscale 2013, puisque la valeur fiscale de l’action F______ mentionnée dans l’avis de taxation ICC 2013 du 5 avril 2018 est de CHF 121.-. À teneur de l’art. 51 al. 1 LPFisc susmentionné (cf. supra p. 9 ch. 6) le tribunal pourrait être amené à revoir la taxation contestée sur ce point en défaveur des</w:t>
      </w:r>
    </w:p>
    <w:p>
      <w:r>
        <w:t>- 15/23 - A/1330/2018 recourants. Toutefois, faisant usage de son pouvoir d'appréciation, il y renoncera, l'AFC-GE ayant au demeurant laissé entendre qu'elle s’en rapportait à justice sur ce point.</w:t>
      </w:r>
    </w:p>
    <w:p>
      <w:r>
        <w:rPr>
          <w:b/>
        </w:rPr>
        <w:t>E. 27</w:t>
      </w:r>
    </w:p>
    <w:p>
      <w:r>
        <w:t>Par conséquent, la valeur fiscale des actions F______ fixée par l’AFC-GE à CHF 1'070'000.- (CHF 107.- x 10'000) pour 2012 et à CHF 1'210'000.- (CHF 121.- x 10'000) est confirmée.</w:t>
      </w:r>
    </w:p>
    <w:p>
      <w:r>
        <w:rPr>
          <w:b/>
        </w:rPr>
        <w:t>E. 28</w:t>
      </w:r>
    </w:p>
    <w:p>
      <w:r>
        <w:t>En ce qui concerne les déductions sociales sur la fortune, l’art. 58 al. 1 let a et b LIPP prévoit, pour l’année 2012, que de l’ensemble de la fortune nette déclarée par les contribuables assujettis à l’impôt dans le canton, le département déduit : a) CHF 82'200.- (CHF 82'839.- pour 2013) pour le contribuable célibataire, veuf, séparé de corps ou de fait ou divorcé ; CHF 164'400.- (CHF 165'678.- pour 2013) pour les époux vivant en ménage commun et les contribuables célibataires, veufs, séparés de corps ou de fait ou divorcés qui tiennent ménage indépendant avec leur(s) enfant(s) mineur(s) considéré(s) comme charge(s) de famille au sens de la lettre b ; b) CHF 41'100.- (CHF 41'420.- pour 2013) pour chaque charge de famille au sens des dispositions qui traitent de l’impôt sur le revenu, la fortune personnelle de l’apprenti ou de l’étudiant étant cependant soustraite de cette somme de CHF 41'100.- (CHF 41'420.- pour 2013). L’art. 58 al. 2 LIPP dispose, quant à lui, qu’il est en outre accordé une déduction égale à la moitié des éléments de fortune investis dans l’exploitation commerciale, artisanale ou industrielle du contribuable, au prorata de sa participation, mais au maximum CHF 500'000.-. La fortune imposable se détermine d'après son état à la fin de la période fiscale ou de l'assujettissement (art. 64 al. 1 LIPP).</w:t>
      </w:r>
    </w:p>
    <w:p>
      <w:r>
        <w:rPr>
          <w:b/>
        </w:rPr>
        <w:t>E. 29</w:t>
      </w:r>
    </w:p>
    <w:p>
      <w:r>
        <w:t>En l’espèce, au 31 décembre 2012, les recourants faisaient ménage commun avec deux enfants nés en 2009 et en 2011, de sorte que la déduction sociale sur la fortune s’élevait à CHF 246'600.- (CHF 164'400.- + 2 x CHF 41'100.-) pour l’année fiscale 2012. Ce montant correspond à la déduction mentionnée dans le bordereau 2012 du 26 mars 2018.</w:t>
      </w:r>
    </w:p>
    <w:p>
      <w:r>
        <w:rPr>
          <w:b/>
        </w:rPr>
        <w:t>E. 30</w:t>
      </w:r>
    </w:p>
    <w:p>
      <w:r>
        <w:t>Au 31 décembre 2013, les recourants faisaient ménage commun avec quatre enfants, soit ceux nés en 2009 et 2011, auxquels s’ajoutent leur fille née en 2013 et D______ né en 1995 d’un premier mariage du recourant. La déduction sociale sur la fortune s’élève ainsi à CHF 331'358.- (CHF 165'678.- + 4 x CHF 41'420.-) pour l’année fiscale 2013. L’AFC-GE ayant admis de manière erronée une déduction de CHF 372'778.- sur le bordereau ICC 2013 du 5 avril 2018, elle s’en</w:t>
      </w:r>
    </w:p>
    <w:p>
      <w:r>
        <w:t>- 16/23 - A/1330/2018 est rapportée à justice quant à une rectification de ce bordereau en défaveur des recourants.</w:t>
      </w:r>
    </w:p>
    <w:p>
      <w:r>
        <w:rPr>
          <w:b/>
        </w:rPr>
        <w:t>E. 31</w:t>
      </w:r>
    </w:p>
    <w:p>
      <w:r>
        <w:t>Compte tenu des sommes forfaitaires précisément déductibles de la fortune, l’ICC 2013 devra être rectifié en réduisant la déduction sociale de CHF 372'778.- à CHF 331'358.-. La reformatio in pejus est donc prononcée dans le cas présent.</w:t>
      </w:r>
    </w:p>
    <w:p>
      <w:r>
        <w:rPr>
          <w:b/>
        </w:rPr>
        <w:t>E. 32</w:t>
      </w:r>
    </w:p>
    <w:p>
      <w:r>
        <w:t>Quant à la déduction prévue à l’art. 58 al. 2 LIPP, elle ne saurait s’appliquer dans le cas présent, dès lors qu’elle concerne les contribuables exerçant une activité lucrative indépendante et que les recourants sont employés par leur société anonyme F______.</w:t>
      </w:r>
    </w:p>
    <w:p>
      <w:r>
        <w:rPr>
          <w:b/>
        </w:rPr>
        <w:t>E. 33</w:t>
      </w:r>
    </w:p>
    <w:p>
      <w:r>
        <w:t>Les recourants contestent l’abattement sur la valeur fiscale de leur villa de C______, dans la mesure où la déduction de 4% par année aurait dû débuter en 2010, année de l’achat de leur maison, au lieu de 2012, année au cours de laquelle ils ont emménagé.</w:t>
      </w:r>
    </w:p>
    <w:p>
      <w:r>
        <w:rPr>
          <w:b/>
        </w:rPr>
        <w:t>E. 34</w:t>
      </w:r>
    </w:p>
    <w:p>
      <w:r>
        <w:t>L'art. 50 let. e LIPP dispose que les autres immeubles,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par année d'occupation continue par le même propriétaire ou usufruitier, jusqu'à concurrence de 40%.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w:t>
      </w:r>
    </w:p>
    <w:p>
      <w:r>
        <w:rPr>
          <w:b/>
        </w:rPr>
        <w:t>E. 35</w:t>
      </w:r>
    </w:p>
    <w:p>
      <w:r>
        <w:t>D'après la jurisprudence de la chambre administrative, même si le contribuable n'habite pas dans l'immeuble, il a droit à un abattement de 4% par année, dès lors qu'il s'est réservé de fait l'usage du bien en raison de son droit de propriété (ATA/112/2012 du 16 février 2010). En revanche, dans le cas où l'immeuble serait loué, un abattement serait injustifié (ATA/377/2009 du 29 juillet 2009 ; JTAPI/1366/2015 du 23 novembre 2015).</w:t>
      </w:r>
    </w:p>
    <w:p>
      <w:r>
        <w:rPr>
          <w:b/>
        </w:rPr>
        <w:t>E. 36</w:t>
      </w:r>
    </w:p>
    <w:p>
      <w:r>
        <w:t>En outre, de jurisprudence constante, le principe de l’étanchéité des exercices et de la périodicité de l’impôt veut que chaque exercice comptable soit considéré comme un tout autonome, sans que le résultat d’un exercice puisse avoir une influence sur les suivants (ATA/446/2014 du 17 juin 2014 consid. 2 ; ATA/532/2013 du 27 août 2013 consid. 6b et références citées). En vertu du</w:t>
      </w:r>
    </w:p>
    <w:p>
      <w:r>
        <w:t>- 17/23 - A/1330/2018 principe de la légalité, l'autorité de taxation peut examiner et apprécier les éléments imposables conformément à la loi sans être tenue par les éventuelles décisions qu'elle aurait pu prendre précédemment en dérogation à la loi (ATA/627/2010 du 28 septembre 2010).</w:t>
      </w:r>
    </w:p>
    <w:p>
      <w:r>
        <w:rPr>
          <w:b/>
        </w:rPr>
        <w:t>E. 37</w:t>
      </w:r>
    </w:p>
    <w:p>
      <w:r>
        <w:t>En l’espèce, il ne ressort pas du dossier que les recourants aient loué leur villa entre 2010 et 2012. Les importants travaux exécutés durant cette période tendent à exclure cette hypothèse. Par ailleurs, en vertu du principe de l’étanchéité des exercices et de la périodicité de l’impôt, le fait que les recourants aient été imposés différemment (absence d’abattement de 4% et d’imposition de la valeur locative) durant les années 2010 et 2011 n’a pas d’incidence sur les années en cause. Même si les recourants ont emménagé dans leur villa en 2012, le fait de l’avoir acquise en 2010, sans jamais l’avoir louée, justifie un abattement de 4% depuis l’année d’acquisition. Par conséquent, les recourants ont droit à un abattement sur la valeur fiscale de leur bien immobilier de 12% sur l’année fiscale 2012 et de 16% sur l’année fiscale 2013. Le recours est donc admis sur ce point.</w:t>
      </w:r>
    </w:p>
    <w:p>
      <w:r>
        <w:rPr>
          <w:b/>
        </w:rPr>
        <w:t>E. 38</w:t>
      </w:r>
    </w:p>
    <w:p>
      <w:r>
        <w:t>Les recourants se plaignent de devoir payer un impôt sur la fortune de 15.3% supérieur à celui que paieraient des concubins, dans la mesure où, contrairement à ces derniers, leurs fortunes respectives s’additionnent. Ils invoquent à cet égard un arrêt du Tribunal fédéral du 13 avril 1984 (arrêt HEGETSCHWEILER = ATF 110 Ia 7 = RDAF 1985 51), qui fixait une différence admissible de taxation de 10% entre ces deux groupes de contribuables.</w:t>
      </w:r>
    </w:p>
    <w:p>
      <w:r>
        <w:rPr>
          <w:b/>
        </w:rPr>
        <w:t>E. 39</w:t>
      </w:r>
    </w:p>
    <w:p>
      <w:r>
        <w:t>Le principe de la légalité gouverne l’ensemble de l’activité de l’État (art. 5 al. 1 et 36 al. 1 de la Constitution fédérale de la Confédération suisse du 18 avril 1999 - Cst. - RS 101)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w:t>
      </w:r>
    </w:p>
    <w:p>
      <w:r>
        <w:rPr>
          <w:b/>
        </w:rPr>
        <w:t>E. 40</w:t>
      </w:r>
    </w:p>
    <w:p>
      <w:r>
        <w:t>Selon l’art. 129 al. 1 à 3 Cst., la Confédération fixe les principes de l'harmonisation des impôts directs de la Confédération, des cantons et des communes ; elle prend en considération les efforts des cantons en matière d'harmonisation (al. 1). L'harmonisation s'étend à l'assujettissement, à l'objet et à la période de calcul de l'impôt, à la procédure et au droit pénal en matière fiscale. Les barèmes, les taux et les montants exonérés de l'impôt, notamment, ne sont pas soumis à l'harmonisation fiscale (al. 2). La Confédération peut légiférer afin de lutter contre l'octroi d'avantages fiscaux injustifiés (al. 3).</w:t>
      </w:r>
    </w:p>
    <w:p>
      <w:r>
        <w:t>- 18/23 - A/1330/2018 L’art. 11 al. 1 LHID dispose que l'impôt des personnes mariées vivant en ménage commun doit être réduit de manière appropriée par rapport à celui des personnes vivant seules.</w:t>
      </w:r>
    </w:p>
    <w:p>
      <w:r>
        <w:rPr>
          <w:b/>
        </w:rPr>
        <w:t>E. 41</w:t>
      </w:r>
    </w:p>
    <w:p>
      <w:r>
        <w:t>Dans son arrêt HEGETSCHWEILER du 13 avril 1984, le Tribunal fédéral a considéré que les couples mariés ne devaient pas être imposés plus lourdement que les concubins. Dans un arrêt postérieur du 1er mars 1991 (RDAF 1993 86 = Archives 60, 279), la Haute Cour, procédant au contrôle concret de l'imposition d'époux exerçant tous deux une activité professionnelle, ayant un enfant et dont la charge fiscale était supérieure de 27,2 % (11,2 % selon l'autorité fiscale) à celle de concubins dans la même situation, a annulé leur taxation au motif que, compte tenu de l'extension du concubinage, un couple marié ne devait plus être imposé plus lourdement. Si une égalité parfaite ne pouvait être réalisée, une différence de 10 % ou plus violait l'art. 8 Cst. (Danielle YERSIN, De quelques développements récents de la jurisprudence du Tribunal fédéral en matière d'impôts directs in Archives 65, 352 et ss). Par la suite dans un arrêt du 18 novembre 1994, le Tribunal fédéral a relativisé sa jurisprudence. S'agissant d'un couple marié avec deux enfants, dont les deux époux exerçaient une activité lucrative et dont la charge fiscale était de l'ordre de 27 % plus élevée que celle de concubins dans la même situation (17,4 % selon l'autorité fiscale), il a renoncé à annuler la décision attaquée. Le Tribunal fédéral a rappelé que le législateur cantonal disposait d'une importante marge d'appréciation, la solution de ces questions dépendant dans une large mesure de facteurs politiques. La complexité des faits à réglementer et le nombre de paramètres entrant en considération rendaient très difficile, si ce n'était impossible la réalisation d'une égalité absolue. A vouloir assurer une égalité parfaite dans le cadre d'une seule comparaison, le législateur courait le risque de créer par la même occasion une inégalité au préjudice d'autres catégories de contribuables. Il a jugé que le législateur devait veiller à assurer d’abord l'égalité entre célibataires et couples mariés - et non entre concubins et couples mariés, prioritairement - car, dans la mesure où une égalité absolue n'était pas réalisable, les deux premières catégories de contribuables étaient les plus nombreuses. « La comparaison cas par cas de la situation des couples mariés à celle de concubins dans la même situation ne permettait pas non plus d'apprécier si une éventuelle surcharge des couples mariés se justifiait ou non ; il convenait d'examiner globalement si la législation cantonale n'imposait pas systématiquement plus lourdement certains groupes de contribuables. Lorsque la législateur parvenait à imposer, les uns par rapport aux autres et selon leur capacité contributive respective, tous les principaux groupes de contribuables dont les situations étaient comparables - couples mariés, célibataires, couples non mariés - les dispositions légales définissant le calcul de l'impôt devaient être considérées comme constitutionnelles, et cela même si leur</w:t>
      </w:r>
    </w:p>
    <w:p>
      <w:r>
        <w:t>- 19/23 - A/1330/2018 application conduisait dans certaines situations relativement rares à une surimposition, de l'ordre de ou supérieure à 10 %, en comparaison avec d'autres groupes de contribuables, et qui ne pouvait être justifiée uniquement par la différence des capacités contributives. Cette imposition inégale devait être admise lorsque le groupe en cause, qui ne faisait pas l'objet du même traitement que les autres groupes, n'était pas imposé de façon disproportionnée par rapport à sa capacité contributive. Dans l'examen des législations cantonales, il convenait de tenir compte du fait que l'égalité de traitement absolue entre couples mariés et concubins ne pouvait jamais être atteinte. Il s'agissait d'états de faits inhérents au système fiscal qui ne pouvaient être évités qu'à partir du moment où la loi prévoyait une imposition spéciale des concubins. Or, les cantons ne pouvaient être obligés de créer un tel statut d'un point de vue constitutionnel. Certaines différences dans le traitement fiscal des couples mariés et des concubins devaient donc être admises ». Ainsi, lorsqu'un domaine à réglementer présupposait l'existence d'un schématisme important, l'art. 8 Cst. n'exigeait pas que tous les contribuables soient traités d'une manière rigoureusement égale, quelle que soit leur situation personnelle (mariés, concubins, célibataires, avec ou sans enfants) ; sous réserve des cas où le tarif conduit à une inégalité flagrante, la norme constitutionnelle ne pouvait que garantir globalement l'égalité de traitement entre les justiciables (ATF 118 Ia 4) (ATF 120 Ia 329 = SJ 1995 761 = Archives 63,741 ; Danielle YERSIN, op. cit p. 361).</w:t>
      </w:r>
    </w:p>
    <w:p>
      <w:r>
        <w:rPr>
          <w:b/>
        </w:rPr>
        <w:t>E. 42</w:t>
      </w:r>
    </w:p>
    <w:p>
      <w:r>
        <w:t>Se fondant sur la jurisprudence du Tribunal fédéral rappelée ci-dessus, la chambre administrative a, elle aussi, jugé que, dans la mesure où la taxation était opérée dans le respect de la législation genevoise, certaines différences dans le traitement fiscal des couples mariés et des concubins n’étaient pas contraires au principe de l'imposition selon la capacité contributive et de l'égalité de l'imposition et devaient être acceptées. Dans le cas d’espèce concerné, il n’était pas contesté que la taxation des époux dépassait de 32.25% celle d’un couple de concubins dans la même situation. La chambre administrative avait ainsi admis le recours de l’AFC- GE (ATA/287/2009 du 16 juin 2009).</w:t>
      </w:r>
    </w:p>
    <w:p>
      <w:r>
        <w:rPr>
          <w:b/>
        </w:rPr>
        <w:t>E. 43</w:t>
      </w:r>
    </w:p>
    <w:p>
      <w:r>
        <w:t>Compte tenu de ce qui précède, il y a lieu de souligner, d’une part, que les cantons disposent d’une large compétence dans la fixation des barèmes et des taux d’imposition. D’autre part, au vu de la systématique de la LHID, l’art. 11 al. 1 LHID ne concerne pas l’impôt sur la fortune, dès lors qu’il est placé dans le chapitre 2 de la loi, relatif à l’impôt sur le revenu. Par ailleurs, l’arrêt HEGETSCHWEILER et ceux ultérieurs concernaient l’imposition du revenu.</w:t>
      </w:r>
    </w:p>
    <w:p>
      <w:r>
        <w:rPr>
          <w:b/>
        </w:rPr>
        <w:t>E. 44</w:t>
      </w:r>
    </w:p>
    <w:p>
      <w:r>
        <w:t>En l’occurrence, les recourants ne contestent pas, en soi, le calcul de l’impôt sur la fortune effectué par l’AFC-GE. Celui-ci apparaît d’ailleurs conforme aux dispositions légales applicables. Alors qu’ils ont la charge de la preuve de ce qu’ils allèguent, les recourants n’ont fourni aucune explication sur le montant de leur fortune imposable de</w:t>
      </w:r>
    </w:p>
    <w:p>
      <w:r>
        <w:t>- 20/23 - A/1330/2018 CHF 4'634'112.-, celui-ci ne ressortant pas des bordereaux litigieux. Ils n’ont pas non plus détaillé leur calcul permettant déterminer leur imposition et celle des concubins. Par ailleurs, compte tenu des pourcentages relevés dans la jurisprudence susmentionnée, la différence de 15.3% alléguée dans le cas présent n’apparaît pas particulièrement choquante. Cela d’autant plus que les recourants se sont contentés d’un simple calcul de l’impôt sur la fortune limité à leur cas, sans procéder à un examen plus global de la situation des couples mariés comparée à celle des concubins.</w:t>
      </w:r>
    </w:p>
    <w:p>
      <w:r>
        <w:rPr>
          <w:b/>
        </w:rPr>
        <w:t>E. 45</w:t>
      </w:r>
    </w:p>
    <w:p>
      <w:r>
        <w:t>Dans ces conditions, étant donné que le calcul de la taxation de la fortune des recourants a été effectué dans le respect du principe de la légalité et que les recourants ne sont pas en mesure de démontrer à satisfaction de droit qu’ils se trouvent globalement et systématiquement dans une situation d’inégalité de traitement par rapport à des concubins, ce grief doit être également rejeté.</w:t>
      </w:r>
    </w:p>
    <w:p>
      <w:r>
        <w:rPr>
          <w:b/>
        </w:rPr>
        <w:t>E. 46</w:t>
      </w:r>
    </w:p>
    <w:p>
      <w:r>
        <w:t>Les recourants demandent en outre que le bouclier fiscal limite leur imposition à 60% de leur « argent liquide imposable ».</w:t>
      </w:r>
    </w:p>
    <w:p>
      <w:r>
        <w:rPr>
          <w:b/>
        </w:rPr>
        <w:t>E. 47</w:t>
      </w:r>
    </w:p>
    <w:p>
      <w:r>
        <w:t>Aux termes de l’art. 60 al. 1 à 4 LIPP, pour les contribuables domiciliés en Suisse, les impôts sur la fortune et sur le revenu – centimes additionnels cantonaux et communaux compris – ne peuvent excéder au total 60% du revenu net imposable. Toutefois, pour ce calcul, le rendement net de la fortune est fixé au moins à 1% de la fortune nette (al. 1). Sont considérés comme rendement net de la fortune, au sens de l’al. 1 : a) les revenus provenant de la fortune mobilière et immobilière, sous déduction des frais mentionnés à l'art. 34 let. a, c, d et e ; et b)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(al. 2). La charge maximale des époux vivant en ménage commun est calculée sur la base de l'ensemble de leurs éléments de fortune et de revenu (al. 3). S’il y a lieu à réduction, celle-ci est imputée sur les impôts sur la fortune, centimes additionnels cantonaux et communaux compris. L’État et les communes intéressées la supportent proportionnellement à leurs droits (al. 4).</w:t>
      </w:r>
    </w:p>
    <w:p>
      <w:r>
        <w:rPr>
          <w:b/>
        </w:rPr>
        <w:t>E. 48</w:t>
      </w:r>
    </w:p>
    <w:p>
      <w:r>
        <w:t>Selon l’art. 7 al.1 1ère phr. LHID, l'impôt sur le revenu a pour objet tous les revenus du contribuable, qu'ils soient uniques ou périodiques, en particulier le produit d'une activité lucrative dépendante ou indépendante, le rendement de la</w:t>
      </w:r>
    </w:p>
    <w:p>
      <w:r>
        <w:t>- 21/23 - A/1330/2018 fortune y compris la valeur locative de l'habitation du contribuable dans son propre immeuble, les prestations d'institutions de prévoyance professionnelle ainsi que les rentes viagères.</w:t>
      </w:r>
    </w:p>
    <w:p>
      <w:r>
        <w:rPr>
          <w:b/>
        </w:rPr>
        <w:t>E. 49</w:t>
      </w:r>
    </w:p>
    <w:p>
      <w:r>
        <w:t>Selon les travaux législatifs préparatoires concernant l’art. 60 LIPP, le rendement net de la fortune inclut tous les revenus, y compris la valeur locative, mais sous déduction des frais d’entretien et des intérêts passifs (MGC 2008-2009/IX A ; Rapport du 26 mai 2009 de la commission fiscale chargée d’étudier le PL 10199- A p. 44).</w:t>
      </w:r>
    </w:p>
    <w:p>
      <w:r>
        <w:rPr>
          <w:b/>
        </w:rPr>
        <w:t>E. 50</w:t>
      </w:r>
    </w:p>
    <w:p>
      <w:r>
        <w:t>De jurisprudence constante, le bouclier fiscal prend en compte le rendement net de la fortune, lequel inclut la valeur locative (cf. not. ATA/459/2018 du 8 mai 2018). 51.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ATA/1488/2017 du 14 novembre 2017)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52. En l’espèce, au vu de la loi et de la jurisprudence rappelées ci-dessus, c’est en vain que les recourants demandent que la valeur locative de leur logement ne soit pas comprise dans leur revenu net. La mise en pratique du bouclier fiscal impliquant nécessairement la prise en compte de la valeur locative dans le revenu imposable, un traitement différent des recourants dans le cas présent serait contraire aux principes de la légalité et de l’égalité de l’imposition. 53. Par ailleurs, même sans soustraire la taxe personnelle et l’impôt immobilier complémentaire du total des impôts sur le revenu et sur la fortune, l’ICC 2012 et l’ICC 2013 restent en dessous de la limite de la charge maximale de 60% prévue par l’art. 60 LIPP. En effet, l’ICC 2012 de CHF 54'292.75 (« Total I ») représente 43.21% du revenu imposable de CHF 125'640.- et l’ICC 2013 de CHF 38'254.80 (« TOTAL I »), correspond à 59% du revenu imposable de CHF 64'833.-. 54. Par conséquent, ce chef de conclusion est également rejeté.</w:t>
      </w:r>
    </w:p>
    <w:p>
      <w:r>
        <w:t>- 22/23 - A/1330/2018 55. Enfin, les recourants allèguent que l’AFC-GE a indûment retenu un montant substantiel d’impôt anticipé pendant près de quatre ou cinq ans, tout en ne payant que 0.25% d’intérêts. Ils demandent que « l’impôt sur la fortune ne peut pas être supérieur aux intérêts payés par le canton ». 56. Selon l’art. 31 al. 4 de la loi fédérale sur l'impôt anticipé du 13 octobre 1965 (LIA – RS 642.21), les montants de l’impôt anticipé à imputer ou à rembourser aux contribuables par les cantons ne portent pas intérêt. 57. L’art. 34 al. 3 de la loi genevoise relative à la perception et aux garanties des impôts des personnes physiques et des personnes morales du 26 juin 2008 (LPGIP – D 3 18) reprend la teneur de l’art. 31 al. 4 LIA. 58. En l’espèce, faute d’explications plus détaillées et de justificatifs fournis par les recourants permettant de comprendre en quoi consistent ces intérêts de 0.25%, le tribunal n’entrera pas en matière sur ce point. 59. En résumé de ce qui précède, le tribunal : - admet la déduction d’une dette chirographaire de CHF 40'000.- envers la société F______ pour les années fiscales 2012 et 2013 ; - confirme l’imposition de dix mille actions F______ pour une valeur fiscale de CHF 1'070'000.- au 31 décembre 2012 et de CHF 1'210'000.- au 31 décembre 2013 ; - prononce la reformatio in pejus concernant la déduction sociale sur la fortune pour l’année fiscale 2013, la déduction sociale sur la fortune pour l’année 2012 étant confirmée ; - admet un abattement sur la valeur de leur bien immobilier de 12% pour l’année fiscale 2012 et de 16% pour l’année fiscale 2013 ; - rejette le recours pour le surplus. 60. Le recours étant ainsi partiellement admis, le dossier sera renvoyé à l’AFC-GE, afin qu’elle notifie de nouveaux bordereaux de taxation ICC 2012 et 2013 conformes aux considérants qui précèdent. 61. Vu l’issue du recours, un émolument réduit à CHF 1'000.-, partiellement couvert par l’avance de frais de CHF 700.- versée à la suite du dépôt du recours, sera mis à la charge des recourants, pris conjointement et solidairement, en application des art. 52 al. 1 LPFisc, 87 al. 1 de la loi sur la procédure administrative du 12 septembre 1985 (LPA - E 5 10) et 1 et 2 du règlement sur les frais, émoluments et indemnités en procédure administrative du 30 juillet 1986 (RFPA - E 5 10.03).</w:t>
      </w:r>
    </w:p>
    <w:p>
      <w:r>
        <w:t>- 23/23 - A/1330/2018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