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JTAPI/10/2025 vom 13. Mai 2024</w:t>
      </w:r>
    </w:p>
    <w:p>
      <w:r>
        <w:t>GE Cour de justice, 2024-05-13, FR</w:t>
      </w:r>
    </w:p>
    <w:p>
      <w:r>
        <w:rPr>
          <w:b/>
        </w:rPr>
        <w:t xml:space="preserve">Quelle: </w:t>
      </w:r>
      <w:r>
        <w:t>https://mcp.opencaselaw.ch/entscheid/ge_gerichte_JTAPI_10_2025</w:t>
      </w:r>
    </w:p>
    <w:p>
      <w:r>
        <w:t>FR: GE_GERICHTE JTAPI/10/2025 du 13 mai 2024</w:t>
      </w:r>
    </w:p>
    <w:p>
      <w:r>
        <w:t>IT: GE_GERICHTE JTAPI/10/2025 del 13 maggio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proportionnalité (ATF 140 I 257 consid. 6.3.1 ; 137 V 71 consid. 5.1 ; 123 V 150 consid. 2 ; arrêt du Tribunal fédéral 1C_107/2016 du 28 juillet 2016 consid. 9).</w:t>
      </w:r>
    </w:p>
    <w:p>
      <w:r>
        <w:rPr>
          <w:b/>
        </w:rPr>
        <w:t>E. 4</w:t>
      </w:r>
    </w:p>
    <w:p>
      <w:r>
        <w:t>Lorsque la procédure prévue par la loi fédérale sur les amendes d'ordre du 24 juin 1970 (LAO - RS 741.03) n'est pas applicable, une infraction aux prescriptions sur la circulation routière entraîne le retrait du permis de conduire ou un avertissement (art. 16 al. 2 de la loi fédérale sur la circulation routière du 19 décembre 1958 - LCR - RS 741.01).</w:t>
      </w:r>
    </w:p>
    <w:p>
      <w:r>
        <w:rPr>
          <w:b/>
        </w:rPr>
        <w:t>E. 5</w:t>
      </w:r>
    </w:p>
    <w:p>
      <w:r>
        <w:t>Pour déterminer la durée et s'il y a lieu de prononcer un retrait d'admonestation, la LCR distingue les infractions légères, moyennement graves et graves (art. 16a à 16e LCR).</w:t>
      </w:r>
    </w:p>
    <w:p>
      <w:r>
        <w:t>- 4/6 - A/3082/2024</w:t>
      </w:r>
    </w:p>
    <w:p>
      <w:r>
        <w:rPr>
          <w:b/>
        </w:rPr>
        <w:t>E. 6</w:t>
      </w:r>
    </w:p>
    <w:p>
      <w:r>
        <w:t>Selon l'art. 16c al. 1 let. f LCR, commet une infraction grave la personne qui conduit un véhicule automobile alors que le permis de conduire lui a été retiré.</w:t>
      </w:r>
    </w:p>
    <w:p>
      <w:r>
        <w:rPr>
          <w:b/>
        </w:rPr>
        <w:t>E. 7</w:t>
      </w:r>
    </w:p>
    <w:p>
      <w:r>
        <w:t>L'art. 16c al. 2 let. b LCR prévoit qu'après une infraction grave, le permis de conduire est retiré pour six mois au minimum si, au cours des cinq années précédentes, le permis a été retiré une fois en raison d’une infraction moyennement grave. Selon l'alinéa 3 de cette disposition, la durée du retrait du permis en raison d'une infraction visée à l'al. 1 let. f, se substitue à la durée restante du retrait en cours.</w:t>
      </w:r>
    </w:p>
    <w:p>
      <w:r>
        <w:rPr>
          <w:b/>
        </w:rPr>
        <w:t>E. 8</w:t>
      </w:r>
    </w:p>
    <w:p>
      <w:r>
        <w:t>Cette disposition, issue du projet du Conseil fédéral (Message du Conseil fédéral du 31 mars 1999 concernant la modification de la loi fédérale sur la circulation routière, in FF 1999 4106), concède à la personne concernée l'avantage de n'avoir à exécuter entièrement que la seconde mesure. D'après les travaux préparatoires, cet avantage est toutefois relativisé par le fait que la personne est menacée plus rapidement d'un retrait définitif en cas de nouvelles infractions, étant donné qu'elle a déjà franchi une étape supplémentaire selon le système dit des mesures « en cascade » (Message, p. 4136; voir également RÜTSCHE/WEBER, op. cit., n. 63 ad art. 16c LCR; Cédric MIZEL, Droit et pratique illustrée du retrait du permis de conduire, 2015, p. 512 ss n. 71.6). A titre d'exemple, le Message mentionne le cas d'un automobiliste sous le coup d'un retrait du permis de conduire pour une durée de trois mois à la suite d'une infraction grave, qui, en cas de conduite durant ce premier retrait, doit faire l'objet d'une mesure d'une durée minimale de douze mois (Message, p. 4136). En d'autres termes, la durée minimale du nouveau retrait dépend donc de la qualification de la première. Si par exemple, celle-ci était moyennement grave, le retrait minimal sera de six mois en vertu de l'art. 16c a. 2 let. b LCR (BUSSY /RUSCONI/ JEANNERET/ KUHN/ MIZEL/ MULLER, Code suisse de la circulation routière commenté, 2015, n. 11 ad art. 16c LCR).</w:t>
      </w:r>
    </w:p>
    <w:p>
      <w:r>
        <w:rPr>
          <w:b/>
        </w:rPr>
        <w:t>E. 9</w:t>
      </w:r>
    </w:p>
    <w:p>
      <w:r>
        <w:t>Ainsi, contrairement au principe prévoyant qu'en droit de la circulation routière un conducteur ne se trouve en état de récidive qu'après la fin de l'exécution d'un précédent retrait, la loi aménage, pour l'infraction de conduite sans permis (art. 16c let. f LCR), un antécédent immédiatement aggravant dans le système des cascades des sanctions prévu par les art. 16 ss LCR (cf. MIZEL, op. cit., n. 79.8 p. 608 ; arrêts du Tribunal fédéral 1C_32/2015 du 18 juin 2015 consid .6.1;1C_579/2014 du 15 juillet 2015 consid. 3.1).</w:t>
      </w:r>
    </w:p>
    <w:p>
      <w:r>
        <w:rPr>
          <w:b/>
        </w:rPr>
        <w:t>E. 10</w:t>
      </w:r>
    </w:p>
    <w:p>
      <w:r>
        <w:t>À teneur de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rPr>
          <w:b/>
        </w:rPr>
        <w:t>E. 11</w:t>
      </w:r>
    </w:p>
    <w:p>
      <w:r>
        <w:t>Ces éléments doivent faire l'objet d'une appréciation d'ensemble, de manière à atteindre autant que possible l'effet éducatif et préventif auquel tend la mesure. Dans ce contexte, l'autorité cantonale dispose d'un large pouvoir d'appréciation et</w:t>
      </w:r>
    </w:p>
    <w:p>
      <w:r>
        <w:t>- 5/6 - A/3082/2024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w:t>
      </w:r>
    </w:p>
    <w:p>
      <w:r>
        <w:rPr>
          <w:b/>
        </w:rPr>
        <w:t>E. 12</w:t>
      </w:r>
    </w:p>
    <w:p>
      <w:r>
        <w:t>La proximité temporelle d'un antécédent (généralement constitutif d'une récidive) est une circonstance aggravante (arrêts 1C_366/2011 consid. 3.5 ; 1C_293/2009 consid. 2.2).</w:t>
      </w:r>
    </w:p>
    <w:p>
      <w:r>
        <w:rPr>
          <w:b/>
        </w:rPr>
        <w:t>E. 13</w:t>
      </w:r>
    </w:p>
    <w:p>
      <w:r>
        <w:t>La règle qui rend incompressibles les durées minimales de retrait des permis, s'impose à l'autorité et aux tribunaux sans dérogation possible, même pour tenir compte des besoins professionnels particulier du conducteur (ATF 135 II 334 consid. 2.2 et les arrêts cités).</w:t>
      </w:r>
    </w:p>
    <w:p>
      <w:r>
        <w:rPr>
          <w:b/>
        </w:rPr>
        <w:t>E. 14</w:t>
      </w:r>
    </w:p>
    <w:p>
      <w:r>
        <w:t>En l'espèce, une première décision de retrait du permis de conduire a été prononcée à l'encontre du recourant pour une durée d'un mois en raison de l'infraction moyennement grave commise le 30 septembre 2023 dont l'exécution courait du 8 juillet 2024 au 7 août 2024 inclus. En conduisant un véhicule automobile alors qu'il faisait l'objet d'une mesure de retrait de permis de conduire, le 14 juillet 2024, ce qu'il ne conteste plus, le recourant a commis une infraction grave au sens de l'art. 16c al. 1 let. f LCR précité. Dans ces conditions, compte tenu de l'antécédent du recourant, la mesure prononcée par l'OCV, qui correspond à la durée minimale incompressible prescrite par l'art. 16c al. 2 let. b LCR (six mois), ne prête pas le flanc à la critique. Étant liée par cette durée, l'autorité intimée qui ne pouvait tenir compte des besoins professionnels invoqués, a correctement appliqué la loi et n'a pas excédé ou abusé de son pouvoir d'appréciation. Dès lors, sa décision ne peut qu'être confirmée et le recours rejeté.</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- 6/6 - A/3082/2024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