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JTAPI/109/2024 vom 20. Mai 2020</w:t>
      </w:r>
    </w:p>
    <w:p>
      <w:r>
        <w:t>GE Cour de justice, 2020-05-20, FR</w:t>
      </w:r>
    </w:p>
    <w:p>
      <w:r>
        <w:rPr>
          <w:b/>
        </w:rPr>
        <w:t xml:space="preserve">Quelle: </w:t>
      </w:r>
      <w:r>
        <w:t>https://mcp.opencaselaw.ch/entscheid/ge_gerichte_JTAPI_109_2024</w:t>
      </w:r>
    </w:p>
    <w:p>
      <w:r>
        <w:t>FR: GE_GERICHTE JTAPI/109/2024 du 20 mai 2020</w:t>
      </w:r>
    </w:p>
    <w:p>
      <w:r>
        <w:t>IT: GE_GERICHTE JTAPI/109/2024 del 20 maggio 2020</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7 février 2024 à 16h30.</w:t>
      </w:r>
    </w:p>
    <w:p>
      <w:r>
        <w:rPr>
          <w:b/>
        </w:rPr>
        <w:t>E. 3</w:t>
      </w:r>
    </w:p>
    <w:p>
      <w:r>
        <w:t>Conformément à l'art. 76 al. 1 let. b ch. 1 LEI, renvoyant à l'art 75 al. 1 let. h de cette même loi, une mesure de détention administrative peut être ordonnée si une décision de première instance de renvoi ou d'expulsion a été notifiée à l'intéressé et que celui-ci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t>- 6/8 - A/437/2024</w:t>
      </w:r>
    </w:p>
    <w:p>
      <w:r>
        <w:rPr>
          <w:b/>
        </w:rPr>
        <w:t>E. 4</w:t>
      </w:r>
    </w:p>
    <w:p>
      <w:r>
        <w:t>En l'espèce, M. A______ fait l'objet d'une décision de renvoi du 20 mai 2020. Il a par ailleurs été condamné pénalement pour vol au sens de l'art. 139 CP, soit un crime (art. 10 al. 2 CP).</w:t>
      </w:r>
    </w:p>
    <w:p>
      <w:r>
        <w:rPr>
          <w:b/>
        </w:rPr>
        <w:t>E. 5</w:t>
      </w:r>
    </w:p>
    <w:p>
      <w:r>
        <w:t>Les conditions pour une mise en détention sur la base de l'art. 76 al. 1 let. b ch. 1 LEI renvoyant à l’art. 75 al. 1 let. h LEI sont ainsi remplies.</w:t>
      </w:r>
    </w:p>
    <w:p>
      <w:r>
        <w:rPr>
          <w:b/>
        </w:rPr>
        <w:t>E. 6</w:t>
      </w:r>
    </w:p>
    <w:p>
      <w:r>
        <w:t>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 étant rappelé qu'il a déjà refuser de prendre le premier vol réservé en sa faveur le 7 février 2024. Au surplus, le fait qu'ils souhaite entamer des démarches en vue de mariage avec sa compagne en Espagne ne fait pas obstacle à sa détention ni à son renvoi en Colombie. En effet, il</w:t>
      </w:r>
    </w:p>
    <w:p>
      <w:r>
        <w:t>- 5/8 - A/437/2024 pourra entreprendre celles-ci une fois en Colombie. Libre à lui de se rendre en Espagne par la suite. En tout état, il ne peut être renvoyé en Espagne par les autorités suisses faute de visa ou d’autorisation de séjour espagnol en cours de validité (art. 5 ch. 2 Accord entre la Confédération suisse et le Royaume d’Espagne relatif à la réadmission des personnes en situation irrégulière ; RO 2005 737).</w:t>
      </w:r>
    </w:p>
    <w:p>
      <w:r>
        <w:rPr>
          <w:b/>
        </w:rPr>
        <w:t>E. 7</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7.9</w:t>
      </w:r>
    </w:p>
    <w:p>
      <w:r>
        <w:t>et 7.10 ; ATAF 2011/50 consid. 8.2).</w:t>
      </w:r>
    </w:p>
    <w:p>
      <w:r>
        <w:rPr>
          <w:b/>
        </w:rPr>
        <w:t>E. 8</w:t>
      </w:r>
    </w:p>
    <w:p>
      <w:r>
        <w:t>En l’occurrence, les autorités ont agi avec célérité puisqu’elles ont d'ores et déjà réservé un vol à destination de la Colombie en faveur de l'intéressé pour le 7 février 2024 et une fois que celui-ci a refusé d'embarquer, réservé un nouveau vol pour le</w:t>
      </w:r>
    </w:p>
    <w:p>
      <w:r>
        <w:rPr>
          <w:b/>
        </w:rPr>
        <w:t>E. 11</w:t>
      </w:r>
    </w:p>
    <w:p>
      <w:r>
        <w:t>En l’espèce, l’ordre de mise en détention respecte le cadre légal fixé par l'art. 79 LEI. La durée de six semaines requise apparait en outre proportionnée et adéquate.</w:t>
      </w:r>
    </w:p>
    <w:p>
      <w:r>
        <w:rPr>
          <w:b/>
        </w:rPr>
        <w:t>E. 12</w:t>
      </w:r>
    </w:p>
    <w:p>
      <w:r>
        <w:t>Cette durée est toutefois relative puisqu’elle prendra fin automatiquement lorsque M. A______ prendra le vol sur lequel une place lui a été réservée. Par contre, si le renvoi ne pouvait être exécuté à destination de la Colombie, la durée de la détention permettra aux autorités d’entreprendre les nouvelles démarches nécessaires afin d'assurer celui-ci et, cas échéant, solliciter la prolongation de la détention.</w:t>
      </w:r>
    </w:p>
    <w:p>
      <w:r>
        <w:rPr>
          <w:b/>
        </w:rPr>
        <w:t>E. 13</w:t>
      </w:r>
    </w:p>
    <w:p>
      <w:r>
        <w:t>Enfin, M. A______ prétend que son renvoi en Colombie est inexigible car il constituerait un danger pour sa vie vu les graves problèmes que sa famille a rencontrés avec les FARC.</w:t>
      </w:r>
    </w:p>
    <w:p>
      <w:r>
        <w:rPr>
          <w:b/>
        </w:rPr>
        <w:t>E. 14</w:t>
      </w:r>
    </w:p>
    <w:p>
      <w:r>
        <w:t>L'exécution du renvoi n'est pas possible lorsque l'étranger ne peut pas quitter la Suisse pour son Etat d'origine, son Etat de provenance ou un Etat tiers, ni être renvoyé dans un de ces Etats (art. 83 al. 2 LEI). Elle n'est pas licite lorsque le renvoi de l'étranger dans son Etat d'origine ou de provenance ou dans un Etat tiers est contraire aux engagements de la Suisse relevant du droit international (art. 83 al. 3 LEI). Tel est notamment le cas lorsqu'elle contrevient à l'interdiction de la torture et autres peines ou traitements inhumains ou dégradants au sens de l'art. 3 CEDH, mais également lorsqu'elle emporte une violation du droit à la vie (art. 2 CEDH).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Ces trois conditions sont de nature alternative : il suffit que l'une d'elles soit réalisée pour que le renvoi soit inexécutable.</w:t>
      </w:r>
    </w:p>
    <w:p>
      <w:r>
        <w:rPr>
          <w:b/>
        </w:rPr>
        <w:t>E. 15</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w:t>
      </w:r>
    </w:p>
    <w:p>
      <w:r>
        <w:rPr>
          <w:b/>
        </w:rPr>
        <w:t>E. 16</w:t>
      </w:r>
    </w:p>
    <w:p>
      <w:r>
        <w:t>La Colombie ne connaît pas une situation de guerre, de guerre civile ou de violence généralisée qui permettrait d'emblée et indépendamment des circonstances du cas d'espèce, de présumer, pour tous les ressortissants du pays, l'existence d'une mise en danger concrète au sens de l'art. 83 al. 4 LEI. Cela étant, M. A______ soutient que le fait que certains membres de sa famille avaient fait l'objet d'exécution et de disparition forcées il y a vingt-cinq ans environ, empêcherait l'exécution de son</w:t>
      </w:r>
    </w:p>
    <w:p>
      <w:r>
        <w:t>- 7/8 - A/437/2024 renvoi en Colombie. Il ne fait cependant valoir aucun élément rendant vraisemblable qu’à son retour en Colombie, il serait concrètement exposé à un danger spécifique pour sa vie ou son intégrité physique ou psychique, comme l'exige la jurisprudence précitée. Partant, ce grief sera écarté.</w:t>
      </w:r>
    </w:p>
    <w:p>
      <w:r>
        <w:rPr>
          <w:b/>
        </w:rPr>
        <w:t>E. 17</w:t>
      </w:r>
    </w:p>
    <w:p>
      <w:r>
        <w:t>Au vu de ce qui précède, il y a lieu de confirmer l'ordre de mise en détention administrative de M. A______ pour une durée de six semaines.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A/437/2024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