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JTAPI/1090/2024 vom 6. November 2024</w:t>
      </w:r>
    </w:p>
    <w:p>
      <w:r>
        <w:t>GE Cour de justice, 2024-11-06, FR</w:t>
      </w:r>
    </w:p>
    <w:p>
      <w:r>
        <w:rPr>
          <w:b/>
        </w:rPr>
        <w:t xml:space="preserve">Quelle: </w:t>
      </w:r>
      <w:r>
        <w:t>https://mcp.opencaselaw.ch/entscheid/ge_gerichte_JTAPI_1090_2024</w:t>
      </w:r>
    </w:p>
    <w:p>
      <w:r>
        <w:t>FR: GE_GERICHTE JTAPI/1090/2024 du 6 novembre 2024</w:t>
      </w:r>
    </w:p>
    <w:p>
      <w:r>
        <w:t>IT: GE_GERICHTE JTAPI/1090/2024 del 6 novembre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t>- 5/10 - A/2336/2024</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Les retraits de permis (en raison d'infractions selon les art. 16a à 16c LCR) entraînent une prolongation de la période probatoire d'une année (art. 15a LCR).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 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w:t>
      </w:r>
    </w:p>
    <w:p>
      <w:r>
        <w:rPr>
          <w:b/>
        </w:rPr>
        <w:t>E. 10</w:t>
      </w:r>
    </w:p>
    <w:p>
      <w:r>
        <w:t>A teneur de l’art. 15b LCR, le permis de conduire définitif est octroyé aux conditions suivantes : le candidat doit avoir suivi la formation prescrite et avoir réussi l’examen pratique de conduite (al. 1) et il doit après la période d’essai avoir suivi la formation complémentaire prescrite (al. 2). Lorsque le permis définitif a été obtenu alors qu’une procédure du retrait du permis de conduire à l’essai était en cours, et que le retrait du permis de conduire à l’essai est ensuite confirmé et que la durée probatoire est rallongée au sens de l’art. 15 al. 3 LCR et l’art. 35 OAC, une des conditions relatives à l’obtention du permis de conduire définitif n’est, ainsi, plus remplies, à savoir l’écoulement complet de la période d’essai. De ce fait, le permis définitif doit être annulé (ATF 143 II 495 consid. 4.4 et les références citées).</w:t>
      </w:r>
    </w:p>
    <w:p>
      <w:r>
        <w:t>- 7/10 - A/2336/2024</w:t>
      </w:r>
    </w:p>
    <w:p>
      <w:r>
        <w:rPr>
          <w:b/>
        </w:rPr>
        <w:t>E. 11</w:t>
      </w:r>
    </w:p>
    <w:p>
      <w:r>
        <w:t>Pour déterminer la durée et s'il y a lieu de prononcer un retrait d'admonestation la LCR distingue les infractions légères, moyennement graves et graves (art 16a à 16c LCR).</w:t>
      </w:r>
    </w:p>
    <w:p>
      <w:r>
        <w:rPr>
          <w:b/>
        </w:rPr>
        <w:t>E. 12</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w:t>
      </w:r>
    </w:p>
    <w:p>
      <w:r>
        <w:rPr>
          <w:b/>
        </w:rPr>
        <w:t>E. 13</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14</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w:t>
      </w:r>
    </w:p>
    <w:p>
      <w:r>
        <w:rPr>
          <w:b/>
        </w:rPr>
        <w:t>E. 16</w:t>
      </w:r>
    </w:p>
    <w:p>
      <w:r>
        <w:t>Aux termes de l’art. 16c al. 2 let. a LCR après une infraction grave, le permis de conduire est retiré pour trois mois au minimum.</w:t>
      </w:r>
    </w:p>
    <w:p>
      <w:r>
        <w:rPr>
          <w:b/>
        </w:rPr>
        <w:t>E. 17</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Le Tribunal fédéral l’a d’ailleurs confirmé s’agissant d’un chauffeur-livreur (arrêt du Tribunal fédéral 1C_498/2012 du 8 janvier 2013), d’un administrateur de sociétés (arrêt du Tribunal fédéral 1C_216/2009 du 14 septembre 2009 consid. 5.2 et 6) et d’un chauffeur de taxi (ATF 132 II 234 consid. 3.2).</w:t>
      </w:r>
    </w:p>
    <w:p>
      <w:r>
        <w:rPr>
          <w:b/>
        </w:rPr>
        <w:t>E. 18</w:t>
      </w:r>
    </w:p>
    <w:p>
      <w:r>
        <w:t>En l’espèce, le recourant ne conteste pas l’infraction qui lui était reprochée, à savoir un dépassement de la vitesse maximale autorisée de 37 km/h (marge de sécurité déduite) sur l’autoroute au volant du véhicule de tourisme VD 1______, ni sa qualification d’infraction grave, de sorte qu’il n’y a pas lieu d’y revenir. Il estime néanmoins que sa situation professionnelle et personnelle devrait être prise en compte dans la décision de lui retirer son permis de conduire. Suite à une infraction grave, le retrait du permis de conduire est de trois mois. L’infraction ayant été commise alors que le recourant était encore au bénéfice d’un permis de conduire à l’essai, la période probatoire du permis de conduire à l’essai devait dès lors être prolongée d’un an. Ainsi, l’une des conditions cumulatives relatives à l’octroi du permis de conduire définitif qui lui avait été délivré n’était plus remplie au moment de sa délivrance – à savoir l’écoulement complet de la période probatoire –, ce qui entraîne l’annulation dudit permis. Les besoins professionnels invoqués par le recourant ne peuvent par ailleurs pas être pris en compte, l’OCV étant lié par la durée de retrait de trois mois qui représente le minimum légal incompressible en cas d’infraction grave, comme le retient la jurisprudence.</w:t>
      </w:r>
    </w:p>
    <w:p>
      <w:r>
        <w:t>- 9/10 - A/2336/2024 Ainsi, la décision querellée est conforme au droit et l’OCV n’a pas abusé ou excédé son pouvoir d’appréciation.</w:t>
      </w:r>
    </w:p>
    <w:p>
      <w:r>
        <w:rPr>
          <w:b/>
        </w:rPr>
        <w:t>E. 19</w:t>
      </w:r>
    </w:p>
    <w:p>
      <w:r>
        <w:t>En tous points mal fondé, le recours sera rejeté.</w:t>
      </w:r>
    </w:p>
    <w:p>
      <w:r>
        <w:rPr>
          <w:b/>
        </w:rPr>
        <w:t>E. 20</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w:t>
      </w:r>
    </w:p>
    <w:p>
      <w:r>
        <w:t>- 10/10 - A/2336/2024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