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JTAPI/1088/2024 vom 6. November 2024</w:t>
      </w:r>
    </w:p>
    <w:p>
      <w:r>
        <w:t>GE Cour de justice, 2024-11-06, FR</w:t>
      </w:r>
    </w:p>
    <w:p>
      <w:r>
        <w:rPr>
          <w:b/>
        </w:rPr>
        <w:t xml:space="preserve">Quelle: </w:t>
      </w:r>
      <w:r>
        <w:t>https://mcp.opencaselaw.ch/entscheid/ge_gerichte_JTAPI_1088_2024</w:t>
      </w:r>
    </w:p>
    <w:p>
      <w:r>
        <w:t>FR: GE_GERICHTE JTAPI/1088/2024 du 6 novembre 2024</w:t>
      </w:r>
    </w:p>
    <w:p>
      <w:r>
        <w:t>IT: GE_GERICHTE JTAPI/1088/2024 del 6 novembre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ATA/172/2012 du 27 mars 2012 ; ATA/363/2011 du 7 juin 2011).</w:t>
      </w:r>
    </w:p>
    <w:p>
      <w:r>
        <w:rPr>
          <w:b/>
        </w:rPr>
        <w:t>E. 2.4</w:t>
      </w:r>
    </w:p>
    <w:p>
      <w:r>
        <w:t>; 123 II 97 consid. 3c/aa ; 119 Ib 158 consid. 3c/aa ; 105 Ib 18 consid. 1a ; 101 Ib 270 consid. 1b ; 96 I 766 consid. 5 ; arrêt du Tribunal fédéral 1C_245/2010 du 13 juillet 2010 consid. 2.1 ; ATA/172/2012 du 27 mars 2012 ; ATA/363/2011 du 7 juin 2011). Il en va notamment ainsi lorsque la personne impliquée savait ou aurait dû prévoir, en raison de la gravité des faits qui lui sont reprochés, qu'il y aurait également une</w:t>
      </w:r>
    </w:p>
    <w:p>
      <w:r>
        <w:t>- 8/12 - A/1813/2024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w:t>
      </w:r>
    </w:p>
    <w:p>
      <w:r>
        <w:t>- 7/12 - A/1813/2024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Le recourant conteste ensuite être l’auteur de l’infraction pour laquelle il a été condamné. Il sollicite l’audition de M. F______, lequel serait, selon les dires de M. D______, la personne qui lui aurait remis le montant de l’amende.</w:t>
      </w:r>
    </w:p>
    <w:p>
      <w:r>
        <w:rPr>
          <w:b/>
        </w:rPr>
        <w:t>E. 5</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Il n'implique toutefois pas le droit d'obtenir l'audition de témoins (ATF 134 I 140).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w:t>
      </w:r>
    </w:p>
    <w:p>
      <w:r>
        <w:rPr>
          <w:b/>
        </w:rPr>
        <w:t>E. 6</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w:t>
      </w:r>
    </w:p>
    <w:p>
      <w:r>
        <w:rPr>
          <w:b/>
        </w:rPr>
        <w:t>E. 7</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w:t>
      </w:r>
    </w:p>
    <w:p>
      <w:r>
        <w:rPr>
          <w:b/>
        </w:rPr>
        <w:t>E. 8</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9</w:t>
      </w:r>
    </w:p>
    <w:p>
      <w:r>
        <w:t>Le fait d’avoir manqué de faire opposition à une ordonnance pénale pour tardiveté, quelles que soient les raisons du retard, n’est pas un motif permettant à l’autorité administrative de s’en écarter (ATA/551/2018 du 5 juin 2018).</w:t>
      </w:r>
    </w:p>
    <w:p>
      <w:r>
        <w:rPr>
          <w:b/>
        </w:rPr>
        <w:t>E. 10</w:t>
      </w:r>
    </w:p>
    <w:p>
      <w:r>
        <w:t>En l’espèce, le recourant a été condamné par ordonnance pénale du 11 juillet 2023 pour avoir commis un dépassement de vitesse autorisée de 33 km/h, marge de sécurité déduite, sur l’autoroute. L’opposition déposée à l’encontre de cette ordonnance a été déclarée irrecevable pour cause de tardiveté. Aucune copie de l’opposition n’a été transmise au tribunal, permettant de confirmer les motifs de ladite opposition. L’ordonnance pénale du 11 juillet 2023 est ainsi entrée en force et peut être assimilée à un jugement en force. Contrairement à ce qu’a affirmé le recourant en audience, il ne s’est pas acquitté de cette amende puisqu’elle a été convertie en jours-amende par ordonnance pénale de conversion du 6 mai 2024. Le recourant a produit la copie d’un document rédigé à la main et signé, et comportant la copie du permis de conduire de M. D______. Il y est indiqué que M. D______ déclare sur l’honneur avoir été le conducteur de la voiture lors de l’infraction. Cette pièce n’est toutefois pas probante pour retenir qu’il était effectivement le conducteur de la voiture au moment de l’infraction dans la mesure où son authenticité n’est aucunement prouvée, qu’aucun élément ne permet de savoir dans quelles circonstances ce document a été rédigé et aucune preuve de la présence de cette personne en Suisse au moment des faits n’a été apportée. Par ailleurs, la signature du document et celle figurant sur le permis de conduire ne semblent pas identiques. Malgré ses engagements en audience, le recourant n’a pas</w:t>
      </w:r>
    </w:p>
    <w:p>
      <w:r>
        <w:t>- 9/12 - A/1813/2024 fourni les pièces complémentaires sollicitées permettant, selon lui, de prouver à satisfaction de droit que c’était effectivement M. D______ qui avait commis l’infraction, que ce dernier était donc bien en Suisse au moment de l’infraction, qu’ avait pour sa part rempli le formulaire indiquant ne pas être le conducteur et avoir fait valoir ces éléments dans le cadre de son opposition à l’ordonnance pénale du</w:t>
      </w:r>
    </w:p>
    <w:p>
      <w:r>
        <w:rPr>
          <w:b/>
        </w:rPr>
        <w:t>E. 11</w:t>
      </w:r>
    </w:p>
    <w:p>
      <w:r>
        <w:t>Pour déterminer la durée et s'il y a lieu de prononcer un retrait d'admonestation, la LCR distingue les infractions légères, moyennement graves et graves (art. 16a à 16c LCR).</w:t>
      </w:r>
    </w:p>
    <w:p>
      <w:r>
        <w:rPr>
          <w:b/>
        </w:rPr>
        <w:t>E. 12</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13</w:t>
      </w:r>
    </w:p>
    <w:p>
      <w:r>
        <w:t>Le législateur conçoit l'art. 16b al. 1 let. a LCR comme l'élément dit de regroupement. Cette disposition n'est ainsi pas applicable aux infractions qui tombent sous le coup des art. 16a al. 1 let. a et 16c al. 1 let. a LCR. Ainsi,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1C_525/2012 du 24 octobre 2013 consid. 2.1 ; 6A.16/2006 du 6 avril 2006 consid. 2.1.1).</w:t>
      </w:r>
    </w:p>
    <w:p>
      <w:r>
        <w:rPr>
          <w:b/>
        </w:rPr>
        <w:t>E. 14</w:t>
      </w:r>
    </w:p>
    <w:p>
      <w:r>
        <w:t>L'art. 16c al. 2 let. a LCR prévoit qu'après une infraction grave, le permis de conduire est retiré pour trois mois au minimum.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w:t>
      </w:r>
    </w:p>
    <w:p>
      <w:r>
        <w:t>- 10/12 - A/1813/2024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15</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(ATF 132 II 234 consid. 3.1.). Dans le domaine des excès de vitesse, la jurisprudence a été amenée à fixer des règles précises afin d'assurer l'égalité de traitement.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(arrêt 6B_444/2016 du 3 avril 2017 consid. 1.1).</w:t>
      </w:r>
    </w:p>
    <w:p>
      <w:r>
        <w:rPr>
          <w:b/>
        </w:rPr>
        <w:t>E. 16</w:t>
      </w:r>
    </w:p>
    <w:p>
      <w:r>
        <w:t>Après une infraction moyennement grave, le permis d'élève conducteur ou le permis de conduire est retiré : pour une durée indéterminée, mais pour 2 ans au minimum si, au cours des 10 années précédentes, le permis a été retiré à trois reprises en raison d'infractions qualifiées de moyennement grave au moins ; il est renoncé à cette mesure si, dans les 5 ans suivant l'expiration d'un retrait, aucune infraction donnant lieu à une mesure administrative n'a été commise (art. 16b al. 2 let. e LCR).</w:t>
      </w:r>
    </w:p>
    <w:p>
      <w:r>
        <w:rPr>
          <w:b/>
        </w:rPr>
        <w:t>E. 17</w:t>
      </w:r>
    </w:p>
    <w:p>
      <w:r>
        <w:t>En l’espèce, au vu de la jurisprudence citée, l’infraction commise par le recourant a été qualifiée à juste titre de moyennement grave par l’OCV. Le recourant ne peut justifier d’une bonne réputation puisqu’il a fait l’objet d’un avertissement prononcé le 18 août 2011, d’une interdiction de faire usage de son permis de conduire étranger le 7 avril 2016 pour une durée de trois mois en raison d’une infraction moyennement grave - mesure dont l’exécution a pris fin le 6 septembre 2016 - d’un retrait de son permis de conduire le 18 janvier 2022 pour une durée d’un mois en raison d’une infraction moyennement grave - mesure dont l’exécution a pris fin le 17 avril 2022 - et d’un retrait de son permis de conduire le 13 juillet 2022 pour une durée de six mois en raison d’une infraction grave - mesure dont l’exécution a pris fin le 12 mars 2023.</w:t>
      </w:r>
    </w:p>
    <w:p>
      <w:r>
        <w:t>- 11/12 - A/1813/2024 Dans lors qu'au cours des dix années précédentes, le permis de conduire du recourant a été retiré à trois reprises en raison d'infractions qualifiées de graves et de moyennement graves, les conditions de l'art. 16b al. 2 let. e LCR sont remplies et un retrait d'une durée indéterminée, mais pour deux ans au moins devait être prononcé. En ayant opté pour la durée minimale du retrait, aucune pesée des intérêts ne peut être effectuée permettant la prise en considération de circonstances tels les besoins professionnels du recourant, le Tribunal fédéral ayant, de jurisprudence constante, rappelé qu’aucune dérogation n’était possible (ATF 132 II 134, consid. 2.3 ; Arrêt du Tribunal fédéral 1C_216/2009 précité, consid. 6).</w:t>
      </w:r>
    </w:p>
    <w:p>
      <w:r>
        <w:rPr>
          <w:b/>
        </w:rPr>
        <w:t>E. 18</w:t>
      </w:r>
    </w:p>
    <w:p>
      <w:r>
        <w:t>Ne reposant sur aucun motif valable,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750.- ; il est partiellement couvert par l’avance de frais versée à la suite du dépôt du recours. Vu l’issue du litige, aucune indemnité de procédure ne sera allouée (art. 87 al. 2 LPA).</w:t>
      </w:r>
    </w:p>
    <w:p>
      <w:r>
        <w:t>- 12/12 - A/1813/2024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