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JTAPI/1085/2024 vom 31. Oktober 2024</w:t>
      </w:r>
    </w:p>
    <w:p>
      <w:r>
        <w:t>GE Cour de justice, 2024-10-31, FR</w:t>
      </w:r>
    </w:p>
    <w:p>
      <w:r>
        <w:rPr>
          <w:b/>
        </w:rPr>
        <w:t xml:space="preserve">Quelle: </w:t>
      </w:r>
      <w:r>
        <w:t>https://mcp.opencaselaw.ch/entscheid/ge_gerichte_JTAPI_1085_2024</w:t>
      </w:r>
    </w:p>
    <w:p>
      <w:r>
        <w:t>FR: GE_GERICHTE JTAPI/1085/2024 du 31 octobre 2024</w:t>
      </w:r>
    </w:p>
    <w:p>
      <w:r>
        <w:t>IT: GE_GERICHTE JTAPI/1085/2024 del 31 ottobre 2024</w:t>
      </w:r>
    </w:p>
    <w:p>
      <w:pPr>
        <w:pStyle w:val="Heading2"/>
      </w:pPr>
      <w:r>
        <w:t>Erwägungen</w:t>
      </w:r>
    </w:p>
    <w:p>
      <w:r>
        <w:rPr>
          <w:b/>
        </w:rPr>
        <w:t>E. 13</w:t>
      </w:r>
    </w:p>
    <w:p>
      <w:r>
        <w:t>Selon sa systématique, le RPUS est constitué de dispositions générales (Titre I) relatives à son but et à son champ d'application, à certaines définitions, à des méthodes de calcul et aux secteurs du territoire de la Ville de C______ auxquels s'applique ce règlement. Son Titre II concerne les règles matérielles déployées par ce règlement. Enfin, son Titre III, intitulé « Dispositions finales » n'est constitué que des art. 14 (Dérogations) et 15 (Entrée en vigueur).</w:t>
      </w:r>
    </w:p>
    <w:p>
      <w:r>
        <w:rPr>
          <w:b/>
        </w:rPr>
        <w:t>E. 14</w:t>
      </w:r>
    </w:p>
    <w:p>
      <w:r>
        <w:t>Dans l'ensemble des dispositions du RPUS, seul l'art. 14 évoque une compétence de prendre des décisions. Cette disposition prévoit que le Conseil d’Etat ou le Département du territoire peuvent exceptionnellement, avec l’accord du Conseil municipal dans le cadre de plans d’affectation, ou du Conseil administratif en matière d’autorisation de construire, déroger aux dispositions du présent règlement lorsqu’une utilisation plus judicieuse du sol ou des bâtiments l’exige impérieusement (al. 1). L’octroi d’une dérogation au sens de l’alinéa 1er est mentionné lors de la publication dans la Feuille d’avis officielle, soit du plan d’affectation du sol spécial dérogeant au présent règlement avec l’accord du Conseil municipal, soit de l’autorisation de construire, lorsque celle-ci ne découle pas d’un tel plan (al. 2).</w:t>
      </w:r>
    </w:p>
    <w:p>
      <w:r>
        <w:rPr>
          <w:b/>
        </w:rPr>
        <w:t>E. 15</w:t>
      </w:r>
    </w:p>
    <w:p>
      <w:r>
        <w:t>Quant à l'art. 9 RPUS, cette disposition, intitulé « Règles applicables aux activités contribuant à l'animation des quartiers » décrit les activités accessibles aux publics qui sont considérés comme compatibles avec les buts du RPUS (al. 1 à 3), les cas dans lesquels une dérogation au sens de l'art. 14 RPUS peut-être octroyée (al. 5), ainsi que les procédures applicables, l'al. 6 prévoyant à cet égard que les</w:t>
      </w:r>
    </w:p>
    <w:p>
      <w:r>
        <w:t>- 7/9 - A/1190/2024 changements de destination de surface de plancher doivent être soumis à autorisation du département cantonal.</w:t>
      </w:r>
    </w:p>
    <w:p>
      <w:r>
        <w:rPr>
          <w:b/>
        </w:rPr>
        <w:t>E. 16</w:t>
      </w:r>
    </w:p>
    <w:p>
      <w:r>
        <w:t>Ainsi que cela découle de cette l'art. 14 RPUS, et en particulier de son al. 1, l'autorité intimée ne dispose elle-même d'aucun pouvoir décisionnel en vertu du RPUS, puisqu'il appartient en réalité au Conseil d'État ou au département du territoire, selon qu'il s'agit d'établir des plans d'affectation ou d'octroyer une autorisation de construire, de déroger aux dispositions du RPUS. Que ce soit le Conseil municipal dans le premier cas ou le Conseil administratif dans le second, l'une et l'autre de ces instances ne peuvent qu'exprimer un préavis au sujet d'une telle dérogation, cas échéant en y donnant leur accord. En revanche, comme l'a relevé l'autorité intimée dans la présente affaire, l'accord donné par l'une ou l'autre de ces instances ne saurait s'inscrire en dehors d'une procédure d'adoption d'un plan d'affectation ou d'autorisation de construire, et encore moins valoir décision autonome au sens de l'art. 4 al. 1 LPA.</w:t>
      </w:r>
    </w:p>
    <w:p>
      <w:r>
        <w:rPr>
          <w:b/>
        </w:rPr>
        <w:t>E. 17</w:t>
      </w:r>
    </w:p>
    <w:p>
      <w:r>
        <w:t>Quant à l'art. 9 RPUS, tel que décrit plus haut, il ne constitue qu'une règle matérielle et n'octroie en lui-même aucune compétence à l'autorité intimée pour prendre une décision. Tout au plus son al. 6, intitulé « Procédures », fait-il mention des décisions qui peuvent être rendues lorsqu'un projet implique un changement de destination, mais en en attribuant la compétence au département cantonal.</w:t>
      </w:r>
    </w:p>
    <w:p>
      <w:r>
        <w:rPr>
          <w:b/>
        </w:rPr>
        <w:t>E. 18</w:t>
      </w:r>
    </w:p>
    <w:p>
      <w:r>
        <w:t>La recourante soutient que la qualité de décision de l'acte litigieux découlerait du fait que si l'autorité intimée s'était prononcée favorablement, sa décision aurait servi de base au dépôt d'une demande d'autorisation complémentaire modifiant la requête qui avait précédemment fait l'objet d'un refus. Ce raisonnement ne peut cependant pas être suivi, car l'accord que l'autorité intimée aurait donné par hypothèse au projet de la recourante n'aurait pas entraîné obligatoirement la délivrance d'une autorisation de construire par le département du territoire, cette autorité demeurant libre d'apprécier par elle-même le projet et, cas échéant de s'écarter de l'avis exprimé par la commune, ainsi que cela ressort du texte de l'art. 14 al. 1 RPUS, selon lequel le département « peut » (et non pas « doit ») déroger aux dispositions du RPUS. Il en découle que l'accord exprimé cas échéant par le Conseil administratif constitue uniquement un préavis.</w:t>
      </w:r>
    </w:p>
    <w:p>
      <w:r>
        <w:rPr>
          <w:b/>
        </w:rPr>
        <w:t>E. 19</w:t>
      </w:r>
    </w:p>
    <w:p>
      <w:r>
        <w:t>Par conséquent, nonobstant le fait que l'acte attaqué indique que l'autorité intimée a « décidé de refuser l'octroi d'une dérogation », il ne constitue pas une décision au sens de l'art. 4 al. 1 LPA, de sorte que le recours devra être déclarée irrecevable (art. 57 LPA a contrario).</w:t>
      </w:r>
    </w:p>
    <w:p>
      <w:r>
        <w:rPr>
          <w:b/>
        </w:rPr>
        <w:t>E. 20</w:t>
      </w:r>
    </w:p>
    <w:p>
      <w:r>
        <w:t>Cette issue rend sans objet la conclusion préalable de la recourante tendant à la tenue d'une audience de transport sur place.</w:t>
      </w:r>
    </w:p>
    <w:p>
      <w:r>
        <w:rPr>
          <w:b/>
        </w:rPr>
        <w:t>E. 21</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de même montant versée à la suite</w:t>
      </w:r>
    </w:p>
    <w:p>
      <w:r>
        <w:t>- 8/9 - A/1190/2024 du dépôt du recours. Vu l’issue du litige, aucune indemnité de procédure ne sera allouée (art. 87 al. 2 LPA).</w:t>
      </w:r>
    </w:p>
    <w:p>
      <w:r>
        <w:t>- 9/9 - A/1190/2024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