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JTAPI/1082/2013 vom 17. April 2013</w:t>
      </w:r>
    </w:p>
    <w:p>
      <w:r>
        <w:t>GE Cour de justice, 2013-04-17, FR</w:t>
      </w:r>
    </w:p>
    <w:p>
      <w:r>
        <w:rPr>
          <w:b/>
        </w:rPr>
        <w:t xml:space="preserve">Quelle: </w:t>
      </w:r>
      <w:r>
        <w:t>https://mcp.opencaselaw.ch/entscheid/ge_gerichte_JTAPI_1082_2013</w:t>
      </w:r>
    </w:p>
    <w:p>
      <w:r>
        <w:t>FR: GE_GERICHTE JTAPI/1082/2013 du 17 avril 2013</w:t>
      </w:r>
    </w:p>
    <w:p>
      <w:r>
        <w:t>IT: GE_GERICHTE JTAPI/1082/2013 del 17 aprile 2013</w:t>
      </w:r>
    </w:p>
    <w:p>
      <w:pPr>
        <w:pStyle w:val="Heading2"/>
      </w:pPr>
      <w:r>
        <w:t>Erwägungen</w:t>
      </w:r>
    </w:p>
    <w:p>
      <w:r>
        <w:rPr>
          <w:b/>
        </w:rPr>
        <w:t>E. 1</w:t>
      </w:r>
    </w:p>
    <w:p>
      <w:r>
        <w:t>Le Tribunal administratif de première instance connaît des recours dirigés, comme en l’espèce, contre les décisions de l'office cantonal de l’inspection et des relations du travail en matière de marché du travail (art. 115 al. 2 et 116 al. 1 de la loi sur l’organisation judiciaire du 26 septembre 2010 - LOJ - E 2 05; art. 3 al. 2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S'agissant de son pouvoir d'examen, le tribunal peut être saisi tant pour constatation inexacte ou incomplète des faits pertinents que pour violation du droit, y compris l'excès ou l'abus du pouvoir d'appréciation (art. 61 al. 1 LPA). Il</w:t>
      </w:r>
    </w:p>
    <w:p>
      <w:r>
        <w:t>- 4/7 - A/1445/2013 n'a par contre pas la compétence d'apprécier l'opportunité des décisions rendues en matière de statut des étrangers (art. 61 al. 2 LPA).</w:t>
      </w:r>
    </w:p>
    <w:p>
      <w:r>
        <w:rPr>
          <w:b/>
        </w:rPr>
        <w:t>E. 4</w:t>
      </w:r>
    </w:p>
    <w:p>
      <w:r>
        <w:t>A l'appui de son recours, la recourante fait valoir que B______ est le propriétaire de la société et qu'en conséquence l'OCIRT aurait dû traiter la demande en application de l'art. 19 de la loi fédérale sur les étrangers du 16 décembre 2005 (LEtr - RS 142.20). La LEtr et l'ordonnance relative à l'admission, au séjour et à l'exercice d'une activité lucrative du 24 octobre 2007 (OASA - RS 142.201) fixent les conditions permettant d’obtenir une autorisation de travail lorsque l’étranger souhaite exercer une activité lucrative. Selon l’art. 2 al. 1 OASA, est considérée comme activité lucrative indépendante toute activité exercée par une personne dans le cadre de sa propre organisation, librement choisie, dans un but lucratif, soumise à ses propres instructions matérielles et à ses propres risques et périls. Cette organisation librement choisie peut être gérée par exemple sous la forme d'un commerce, d'une fabrique, d'un prestataire de service, d'une industrie ou d'une autre affaire. Dans le cas d'espèce, tant le formulaire de demande pour frontalier que le contrat de travail joint en annexe à la demande d'autorisation de travail font apparaître B______ comme un employé de la société raison pour laquelle l'OCIRT a traité sa demande en application de l'art. 18 LEtr. Il ressort toutefois du registre du commerce qu'il est inscrit depuis le 15 janvier 2013 en qualité d'associé gérant d'A______ SARL aux côtés de E______, lui-même propriétaire d'une fiduciaire, et qu'il détient 18 des 20 parts sociales. B______ apparaît donc comme le principal acteur de la société et son activité comme celle d'un indépendant, de sorte que sa demande aurait dû être traitée sous l'angle de l'art. 19 LEtr. L'OCIRT ayant examiné dans ses observations du 4 juillet 2013, si les conditions de l'art. 19 LEtr. étaient réalisées, le tribunal, par économie de procédure, entrera donc en matière sur cette question dans le cadre du présent recours.</w:t>
      </w:r>
    </w:p>
    <w:p>
      <w:r>
        <w:rPr>
          <w:b/>
        </w:rPr>
        <w:t>E. 5</w:t>
      </w:r>
    </w:p>
    <w:p>
      <w:r>
        <w:t>Un étranger peut être admis en vue de l’exercice d’une activité lucrative indépendante si :  son admission sert les intérêts économiques du pays (art. 19 let. a LEtr),  les conditions financières et les exigences relatives à l’exploitation de l’entreprise sont remplies (art. 19 let. b LEtr)  les nombres maximums sont respectés (art. 20 LEtr et 20 OASA) ; En ce qui concerne les autorisations de séjour permettant d’exercer une activité lucrative, ce chiffre est de 116 pour le canton de Genève pour l’année 2013</w:t>
      </w:r>
    </w:p>
    <w:p>
      <w:r>
        <w:t>- 5/7 - A/1445/2013 (annexe 2 OASA). Compte tenu du contingent restreint accordé aux cantons, les autorités du marché de l’emploi sont contraintes de se montrer restrictives dans l’appréciation des demandes dont elles sont saisies et ne peuvent retenir que celles qui traduisent un intérêt pour la collectivité ;  l’étranger présente les qualifications personnelles requises (art. 23 LEtr) ;  il dispose d’un logement approprié (art. 24 LEtr). Lors de l’appréciation du cas, il convient de tenir compte de la situation sur le marché du travail, de l’évolution économique durable et de la capacité de l’étranger concerné de s’intégrer (Directives LEtr, version au 01.05.2012, ch. 4.3.1, ; ces directives ne lient pas le juge, mais il peut en tenir compte pour assurer une application uniforme de la loi envers chaque administré, pourvu qu’elles respectent le sens et le but de la norme applicable : ATA/565/2012 du 21 août 2012 ; ATA/353/2012 du 5 juin 2012). L’implantation d’entreprises et les indépendants peuvent être admis s’il est prouvé qu’il en résultera des retombées durables positives pour le marché suisse du travail. On considère que le marché suisse du travail tire durablement profit de l’implantation lorsque la nouvelle entreprise contribue à la diversification de l’économie régionale, dans la branche concernée, obtient ou crée des places de travail pour la main-d’œuvre locale, procède à des investissements substantiels et génère de nouveaux mandats pour l’économie helvétique (Directives LEtr, op. cit., ch. 4.7.2.1).</w:t>
      </w:r>
    </w:p>
    <w:p>
      <w:r>
        <w:rPr>
          <w:b/>
        </w:rPr>
        <w:t>E. 6</w:t>
      </w:r>
    </w:p>
    <w:p>
      <w:r>
        <w:t>En l'espèce, il n'est nullement démontré que dans le cadre de son activité, B______ procédera à des investissements substantiels ou générera de nouveaux mandats pour l’économie suisse ni que des places de travail seront créées. Par ailleurs, l'activité envisagée, dans le domaine de la plomberie, de l'électricité et du chauffage, ne contribuera nullement à la diversification de l'économie régionale, de nombreuses entreprises situées dans le canton de Genève étant déjà actives dans ces domaines. L'exploitation de cette société ne présente pas un intérêt économique suffisant pour le canton, que ce soit en termes de création de places de travail ou d’investissements, et ne justifie donc pas le prélèvement d’une unité de contingent. La condition de l'art. 19 let. a LEtr n'étant pas réalisée, B______ ne peut prétendre à l'octroi d'une autorisation pour l'exercice d'une activité lucrative indépendante.</w:t>
      </w:r>
    </w:p>
    <w:p>
      <w:r>
        <w:rPr>
          <w:b/>
        </w:rPr>
        <w:t>E. 7</w:t>
      </w:r>
    </w:p>
    <w:p>
      <w:r>
        <w:t>Au vu de ce qui précède, le recours sera donc rejeté et la décision contestée confirmée.</w:t>
      </w:r>
    </w:p>
    <w:p>
      <w:r>
        <w:t>- 6/7 - A/1445/2013</w:t>
      </w:r>
    </w:p>
    <w:p>
      <w:r>
        <w:rPr>
          <w:b/>
        </w:rPr>
        <w:t>E. 8</w:t>
      </w:r>
    </w:p>
    <w:p>
      <w:r>
        <w:t>En application des art. 87 al. 1 LPA et 1 et 2 du règlement genevois sur les frais, émoluments et indemnités en procédure administrative (RFPA - E 5 10.03), la recourante, qui succombe, sera condamnée au paiement d’un émolument s'élevant à CHF 500.-; lequel est couvert par l’avance de frais versée à la suite du dépôt du recours.</w:t>
      </w:r>
    </w:p>
    <w:p>
      <w:r>
        <w:t>- 7/7 - A/1445/2013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