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JTAPI/1081/2022 vom 17. Oktober 2022</w:t>
      </w:r>
    </w:p>
    <w:p>
      <w:r>
        <w:t>GE Cour de justice, 2022-10-17, FR</w:t>
      </w:r>
    </w:p>
    <w:p>
      <w:r>
        <w:rPr>
          <w:b/>
        </w:rPr>
        <w:t xml:space="preserve">Quelle: </w:t>
      </w:r>
      <w:r>
        <w:t>https://mcp.opencaselaw.ch/entscheid/ge_gerichte_JTAPI_1081_2022</w:t>
      </w:r>
    </w:p>
    <w:p>
      <w:r>
        <w:t>FR: GE_GERICHTE JTAPI/1081/2022 du 17 octobre 2022</w:t>
      </w:r>
    </w:p>
    <w:p>
      <w:r>
        <w:t>IT: GE_GERICHTE JTAPI/1081/2022 del 17 ottobre 2022</w:t>
      </w:r>
    </w:p>
    <w:p>
      <w:pPr>
        <w:pStyle w:val="Heading2"/>
      </w:pPr>
      <w:r>
        <w:t>Erwägungen</w:t>
      </w:r>
    </w:p>
    <w:p>
      <w:r>
        <w:rPr>
          <w:b/>
        </w:rPr>
        <w:t>E. 21</w:t>
      </w:r>
    </w:p>
    <w:p>
      <w:r>
        <w:t>Par jugement du 31 janvier 2020 (JTAPI/117/2020), le Tribunal administratif de première instance (ci-après : le tribunal) a rejeté les recours interjetés par les membres de la famille ______ à l'encontre des décisions rendues par l'OCPM le</w:t>
      </w:r>
    </w:p>
    <w:p>
      <w:r>
        <w:rPr>
          <w:b/>
        </w:rPr>
        <w:t>E. 23</w:t>
      </w:r>
    </w:p>
    <w:p>
      <w:r>
        <w:t>Enfin, par arrêt du 11 juin 2021 (2C_1______), le Tribunal fédéral a rejeté le recours des membres de la famille ______ dirigé contre l'arrêt précité, constatant que les faits n'avaient pas été établis de manière manifestement inexacte. C'était en outre à juste titre qu'il avait été constaté que les autorisations d'établissement des membres de la famille ______ avaient pris fin automatiquement et que le délai d'extinction n'avait pas été interrompu par les séjours temporaires qu'ils avaient éventuellement effectués en Suisse.</w:t>
      </w:r>
    </w:p>
    <w:p>
      <w:r>
        <w:rPr>
          <w:b/>
        </w:rPr>
        <w:t>E. 24</w:t>
      </w:r>
    </w:p>
    <w:p>
      <w:r>
        <w:t>Sous la plume du conseil qui était alors constitué en leur faveur, les membres de la famille ______ ont adressé à l'OCPM, par écritures du 4 novembre 2021, une requête d'octroi d'autorisation de séjour pour chacun d'eux. En substance, même en retranchant les sept années de résidence en Suisse de 2010 à 2017, le père et la mère de famille avaient vécu en tout cas deux décennies en Suisse et les enfants et y avaient passé la majorité de leur existence. De plus, les huit années écoulées entre la première correspondance de l'OCPM, le 16 décembre 2011, et le prononcé</w:t>
      </w:r>
    </w:p>
    <w:p>
      <w:r>
        <w:t>- 8/16 - A/68/2022 de sa décision du 23 avril 2019, avaient eu des conséquences dramatiques sur la santé psychologique des parents ainsi que des enfants. C'était ainsi que M. B______ souffrait d'un trouble dépressif aigu et que son fils D______ faisait également l'objet d'un suivi psychologique. Mme A______ quant à elle souffrait d'une « maladie grave » impliquant un suivi rapproché et, probablement, l'introduction prochaine d'un nouveau traitement, selon certificat médical établi par les Hôpitaux universitaires de Genève (HUG) le 9 juillet 2021. Les autorisations d'établissement avaient été renouvelées en mai 2014 et en avril 2015, ce qui expliquait le choc émotionnel vécu à la prise de connaissance de la (sic) décision du 23 avril 2019, qui leur semblait totalement injuste. M. B______ avait de bonne foi sollicité le service des allocations familiales pour avoir l'autorisation de scolariser ses enfants au Kosovo. La lenteur de la procédure et l'attitude contradictoire de l'autorité constituaient des manquements qui devaient être réparés. Par ailleurs, D______, C______ et E______ sollicitaient une autorisation provisoire d'exercer une activité lucrative pendant l'examen de la présente requête.</w:t>
      </w:r>
    </w:p>
    <w:p>
      <w:r>
        <w:rPr>
          <w:b/>
        </w:rPr>
        <w:t>E. 25</w:t>
      </w:r>
    </w:p>
    <w:p>
      <w:r>
        <w:t>Par décisions du 23 novembre 2021, concernant d'une part M. B______ et Mme A______ ainsi que leur fils mineur F______, et, d'autre part, les enfants majeurs C______, D______ et E______ (une décision étant prise séparément pour chacun d'eux), l'OCPM a constaté qu'il avait déjà statué par une (sic) décision du 23 avril 2019, laquelle était entrée en force suite à l'arrêt du Tribunal fédéral du 11 juin 2021. Par conséquent, la requête présentée le 4 novembre 2021 devait être considéré comme une demande de reconsidération de la décision du 23 avril 2019. En substance, la situation de chacun des membres de la famille ne se signalait par aucuns faits nouveaux et importants depuis cette date, notamment concernant les problèmes de santé de M. B______, de Mme A______ (dont le certificat médical du 9 juillet 2017 n'indiquait ni le nom du médecin ni le diagnostic) et enfin D______. Le fait que E______ avait achevé avec succès son année préparatoire santé-social 2020 - 2021 et que C______ avait remboursé une grande partie de ses dettes constituaient certes des éléments nouveaux, mais pas importants au point de remettre en question la décision du 23 avril 2019.</w:t>
      </w:r>
    </w:p>
    <w:p>
      <w:r>
        <w:rPr>
          <w:b/>
        </w:rPr>
        <w:t>E. 26</w:t>
      </w:r>
    </w:p>
    <w:p>
      <w:r>
        <w:t>Par un seul acte du 10 janvier 2022, agissant en personne, les membres de la famille ______ ont recouru contre ces décisions auprès du tribunal, concluant, sur mesures provisionnelles, à pouvoir rester en Suisse pendant la procédure et, sur le fond, à l'admission du recours et l'annulation des décisions entreprises. Préalablement, ils demandaient leur audition. En substance, ils estimaient être parvenus à démontrer que M. B______ et Mme A______ étaient bien présents à Genève entre 2010 et 2017. Pour ce faire, ils disposaient de documents supplémentaires qu'ils produiraient bientôt. Par ailleurs, revenus en 2017, tous les enfants de la famille s'étaient très bien intégrés. Les deux plus jeunes étaient scolarisés et venaient de passer leur adolescence en Suisse. Quant au deux plus âgés, ils avaient travaillé durant ce laps de temps et</w:t>
      </w:r>
    </w:p>
    <w:p>
      <w:r>
        <w:t>- 9/16 - A/68/2022 étaient parfaitement intégrés en Suisse. Enfin, l'état de santé de Mme A______ s'était dégradé, ce qui devait rendre son renvoi inexigible.</w:t>
      </w:r>
    </w:p>
    <w:p>
      <w:r>
        <w:rPr>
          <w:b/>
        </w:rPr>
        <w:t>E. 27</w:t>
      </w:r>
    </w:p>
    <w:p>
      <w:r>
        <w:t>Par courrier du 13 janvier 2022, M. B______ a indiqué au tribunal que celui-ci pourrait trouver les preuves de sa présence en Suisse de 2000 à 2018 auprès de son ancien médecin traitant, le Docteur G______.</w:t>
      </w:r>
    </w:p>
    <w:p>
      <w:r>
        <w:rPr>
          <w:b/>
        </w:rPr>
        <w:t>E. 28</w:t>
      </w:r>
    </w:p>
    <w:p>
      <w:r>
        <w:t>Par écritures du 18 janvier 2022, l'OCPM a conclu au rejet du recours en renvoyant en substance aux motifs des décisions attaquées.</w:t>
      </w:r>
    </w:p>
    <w:p>
      <w:r>
        <w:rPr>
          <w:b/>
        </w:rPr>
        <w:t>E. 29</w:t>
      </w:r>
    </w:p>
    <w:p>
      <w:r>
        <w:t>Dans une longue écriture non datée mais reçue par le tribunal le 21 février 2022, la famille ______ a repris dans le détail l'historique du dossier s'agissant de chacun de ses membres, ainsi que les efforts d'intégration effectués en particulier par les enfants du couple parental. S'agissant de Mme A______, elle avait dû subir un by-pass gastrique et était désormais suivie tous les six mois pour un cancer de l'estomac, ce qui ne serait pas possible au Kosovo. À cet égard, les recourants ont produit un rapport établi par le département d'oncologie des HUG le 23 août 2021, établissant un diagnostic de lymphome de type MALT de localisation gastrique, associé à une infection Helicobacter Pylori au stade IA. Mme A______ était vue dans le cadre d'un suivi annuel pour ce lymphome diagnostiqué en septembre 2019 et traité par une éradication d'Helicobacter Pylori. Une gastroscopie à un an du diagnostic confirmait l'éradication ainsi que l'absence de lésion lymphomateuse. Une nouvelle endoscopie gastrique en juin 2021 décrivait la présence de quelques amas lymphoïdes dont une analyse complémentaire par recherche de clonalité permettait d'exclure une invasion par le lymphome de type MALT. Par ailleurs, cette endoscopie confirmait de nouveau l'absence d'Helicobacter Pylori. Devant ces résultats endoscopiques négatifs, on était devant une poursuite de la rémission et, dans ce contexte, était préconisée la poursuite d'un suivi clinique et biologique ainsi qu'endoscopique semestriel. En outre, une attestation médicale établie le 10 février 2022, également par le département d'oncologie des HUG, indiquait qu'en raison de sa maladie, Mme A______ avait besoin de suivis médicaux dans le service d'oncologie tous les six mois, ces suivis ne pouvant pas être effectués au Kosovo.</w:t>
      </w:r>
    </w:p>
    <w:p>
      <w:r>
        <w:rPr>
          <w:b/>
        </w:rPr>
        <w:t>E. 30</w:t>
      </w:r>
    </w:p>
    <w:p>
      <w:r>
        <w:t>Par écriture du 17 mars 2022, l'OCPM a indiqué ne pas avoir d'observations complémentaires à formuler.</w:t>
      </w:r>
    </w:p>
    <w:p>
      <w:r>
        <w:rPr>
          <w:b/>
        </w:rPr>
        <w:t>E. 31</w:t>
      </w:r>
    </w:p>
    <w:p>
      <w:r>
        <w:t>Par courrier spontané non daté reçu par le tribunal le 6 avril 2022, M. B______ a souligné la situation catastrophique dans laquelle se trouvait sa famille en raison d'une totale négligence du dossier par l'OCPM. Il souhaitait pouvoir s'exprimer devant le juge.</w:t>
      </w:r>
    </w:p>
    <w:p>
      <w:r>
        <w:rPr>
          <w:b/>
        </w:rPr>
        <w:t>E. 32</w:t>
      </w:r>
    </w:p>
    <w:p>
      <w:r>
        <w:t>Par courrier spontané non daté reçu par le tribunal le 3 juin 2022, D______ a informé que son père avait fait une chute de 3 mètres le dimanche 29 mai et s'était cassé deux côtes et perforé un poumon. Amenés aux urgences, il était toujours</w:t>
      </w:r>
    </w:p>
    <w:p>
      <w:r>
        <w:t>- 10/16 - A/68/2022 hospitalisé, avait énormément de difficultés à respirer et avait également des pertes de mémoire. Toute la famille était traumatisée par ce terrible accident et lui-même était toujours sous le choc d'avoir eu entre ses mains son père qui se battait pour sa vie. Toute la famille se sentait « coincée » par la situation actuelle. Les enfants avaient fait la plus grande partie de leur vie en Suisse, qui constituait leur pays. Aucun des membres de la famille n'était dans un état correct, personne ne pouvait travailler, être scolarisé ou être formé correctement et poursuivre sa vie normalement.</w:t>
      </w:r>
    </w:p>
    <w:p>
      <w:r>
        <w:rPr>
          <w:b/>
        </w:rPr>
        <w:t>E. 33</w:t>
      </w:r>
    </w:p>
    <w:p>
      <w:r>
        <w:t>En accompagnement de deux courriers reçus par le tribunal le 21 juillet 2022, dont l'un non signé mais émanant apparemment de E______, la famille ______ a encore adressé au tribunal divers documents médicaux concernant M. B______, dont un rapport établi le 23 juin 2022 par le département de chirurgie des HUG, dont le diagnostic principal est fractures costales traumatiques de la troisième et quatrième côte à droite et pneumothorax traumatique à droite. Au terme de la synthèse relative à l'hospitalisation et à la prise en charge des problèmes, il est indiqué qu'au vu de la bonne évolution clinique, le patient quitte le service le 6 juin 2022 pour un retour à domicile. Le suivi à la sortie consiste en la poursuite d'un traitement antibiotique, d'un rendez-vous de contrôle, de la poursuite d'anticoagulation thérapeutique pour trois mois et enfin de la surveillance de la formule sanguine.</w:t>
      </w:r>
    </w:p>
    <w:p>
      <w:r>
        <w:t>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Les recourant sollicitent d'abord leur audition par le tribunal. 4. Tel que garanti par les art. 29 al. 2 de la Constitution fédérale de la Confédération suisse du 18 avril 1999 (Cst. - RS 101), le droit d'être entendu comprend notamment le droit pour l'intéressé de produire des preuves pertinentes, d'obtenir</w:t>
      </w:r>
    </w:p>
    <w:p>
      <w:r>
        <w:t>- 11/16 - A/68/2022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137 I 195 consid. 2.3.1 ; arrêt du Tribunal fédéral 8C_472/2014 du 3 septembre 2015 consid. 4.1 ; ATA/80/2016 du 26 janvier 2016 consid. 2 ; ATA/134/2015 du 3 février 2015 ; ATA/66/2015 du 13 janvier 2015).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130 II 425 consid. 2.1 ; arrêts du Tribunal fédéral 2C_842/2014 du 17 février 2015 consid. 6.2 ; 2C_597/2013 du 28 octobre 2013 consid. 5.3 ; 1C_272/2010 du 16 mars 2011 consid. 2.5 ; ATA/158/2016 du 23 février 2016 consid. 2a ; ATA/80/2016 du 26 janvier 2016 consid. 2 ; ATA/5/2015 du 6 janvier 2015 ; ATA/118/2014 du 25 février 2014). En revanche, le droit d'être entendu ne confère pas celui de l'être oralement, ni celui d'obtenir l'audition de témoins (art. 41 in fine LPA ; ATF 134 I 140 consid. 5.3 ; 130 II 425 consid. 2.1 ; 125 I 209 consid. 9b ; 122 II 464 consid. 4c ; arrêts du Tribunal fédéral 2C_901/2014 du 27 janvier 2015 consid. 3 ; 8C_8/2012 du 17 avril 2012 consid. 1.2). L'instruction orale de la cause, en dérogation au principe de la procédure écrite institué par l'art. 18 LPA, nécessite en tout état que la requête tendant à ce que le tribunal ordonne une telle mesure soit motivée et permette de comprendre clairement en quoi l'audition d'une partie ou d'un témoin serait susceptible d'apporter des éléments que la procédure écrite ne serait pas apte à fournir (arrêt du Tribunal fédéral 1C_160/2017 du 3 octobre 2017 consid. 4 ; ATF 1C_122/2016 du 7 septembre 2016 ; 2C_265/2016 du 23 mai 2016 consid. 5.2). 5. En l'occurrence, les recourants n'indiquent pas clairement en quoi leur audition serait nécessaire, c'est-à-dire pour quelle raison et dans quelle mesure l'instruction écrite du dossier ne leur aurait pas permis d'exposer de manière complète et circonstanciée les éléments pertinents du litige. Par conséquent, il ne se justifie pas de procéder à leur audition. 6. Les recourants ne contestent pas l'appréciation faite par l'autorité intimée dans les décisions litigieuses, s'agissant du fait que le courrier qu'ils avaient adressé à cette autorité le 4 novembre 2021, sous la plume de leur avocat, devait être interprété comme une demande de reconsidération des décisions du 23 avril 2019. Le tribunal ne peut qu'adhérer à cette interprétation.</w:t>
      </w:r>
    </w:p>
    <w:p>
      <w:r>
        <w:t>- 12/16 - A/68/2022 7. Selon l'art. 48 al. 1 LPA, les demandes en reconsidération de décisions prises par les autorités administratives sont recevables lorsqu'un motif de révision au sens de l’article 80, lettres a et b, existe (let. a) ou lorsque les circonstances se sont modifiées dans une mesure notable depuis la première décision (let. b). En vertu de l’art. 48 al. 1 let. b LPA, dont l’application est seule envisageable en l’espèce, il faut que la situation du destinataire de la décision se soit notablement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 8.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w:t>
      </w:r>
    </w:p>
    <w:p>
      <w:r>
        <w:t>- 13/16 - A/68/2022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 9. 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arrêts du Tribunal administratif fédéral C-1545/2008 du 8 juillet 2008 consid. 5 ; C-7483/2006 du 19 juin 2007 consid. 6 ; C-1798/2006 du 15 juin 2007 consid. 6 ; C-273/2006 du 25 avril 2007 consid. 5.3). Autrement dit, on ne saurait voir dans le simple écoulement du temps et dans une évolution normale de l’intégration en Suisse une modification des circonstances susceptibles d’entraîner une reconsidération de la décision incriminée (cf. not. arrêts du Tribunal administratif fédéral F-5003/2019 du 6 avril 2020 consid. 4.3 ; F-2581/2017 du 3 septembre 2018 consid. 3.4 ; F-2638/2017 du 9 novembre 2017 consid. 5.3). Le fait d'invoquer des faits nouveaux résultant pour l'essentiel de l'écoulement du temps, que le recourant a largement favorisé, peut d'ailleurs être reconnu comme un procédé dilatoire (cf. arrêt du Tribunal fédéral 2A.271/2004 du 7 octobre 2004 consid. 3.3).</w:t>
      </w:r>
    </w:p>
    <w:p>
      <w:r>
        <w:t>- 14/16 - A/68/2022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 ; ATA/539/2020 précité consid. 4b ; ATA/1244/2019 13 août 2019 consid. 5b). 10. En l'espèce, tous les éléments invoqués par les recourants dans le cadre de leur demande du 4 novembre 2021, ainsi que dans le recours et dans leurs écritures subséquentes, entrent soit dans la catégorie des faits qui étaient déjà existants durant la procédure qui s'est terminée par l'arrêt du Tribunal fédéral du 11 juin 2021 (2C_1______), soit dans la catégorie des faits qui, bien que rattachés à la période postérieure à cet arrêt, ne sont liés qu'au simple écoulement du temps et à l'évolution normale de leur intégration en Suisse. Ainsi que cela découle de la jurisprudence rappelée ci-dessus, ces deux catégories de faits ne peuvent donner lieu à reconsidération de la décision initiale. En l'espèce, dans la première catégorie, on relèvera en particulier la maladie dont souffre la mère de famille, déjà diagnostiquée en 2017, ainsi que les problèmes de santé du père de famille, qui avaient été pris en considération par les juridictions qui se sont successivement prononcées sur la situation de la famille. À la seconde catégorie correspondent les explications données par les recourants au sujet des efforts d'intégration poursuivis en particulier par les enfants depuis leur retour en Suisse, efforts qui, certes louables, n'en sont pas moins la conséquence normale de leur séjour en Suisse, qu'ils ont poursuivi alors qu'ils étaient en procédure contentieuse contre les décisions du 23 avril 2019. 11. Par souci de complétude, il convient de relever que le lymphome de type MALT dont a souffert la mère de famille n'est plus visible aux examens et que la précitée est considérée en état de rémission. Elle fait dès lors uniquement l'objet d'un suivi clinique et biologique ainsi qu'endoscopique semestriel. Dans cette mesure, loin d'une évolution défavorable susceptible de mettre sa vie en danger, c'est au contraire une évolution tout à fait favorable qu'elle a connue. Un retour au Kosovo n'est donc pas de nature à l'exposer à un danger grave pour son intégrité physique ou pour sa vie, étant relevé que le certificat des HUG du 10 février 2022 n'explicite absolument pas les éléments sur lesquels il se fonde pour affirmer que des examens biologiques ou endoscopiques ne seraient pas pratiqués ou praticables au Kosovo, à tout le moins dans la capitale où un suivi qui n'est que semestriel est parfaitement envisageable. 12. Quant à l'accident subi par le père de famille le 29 mai 2022, il a été d'une relative gravité et, dans cette mesure, constitue le seul élément nouveau d'une certaine importance – encore qu'il soit survenu postérieurement au refus de reconsidération litigieux. Quoi qu'il en soit, l'intéressé a été renvoyé chez lui déjà le 6 juin 2022 au vu de la bonne évolution clinique et la suite du traitement a consisté</w:t>
      </w:r>
    </w:p>
    <w:p>
      <w:r>
        <w:t>- 15/16 - A/68/2022 essentiellement dans la prise de quelques médicaments. Par conséquent, cet événement ne justifierait de toute manière pas une reconsidération de la décision du 23 avril 2019 qui concernait le précité. 13. Au vu de ce qui précède, c'est à raison que l'autorité intimée a refusé d'entrer en matière sur la demande de reconsidération du 4 novembre 2021. 14. Le recours sera donc rejeté et les décisions litigieuses confirmées. 15. En application des art. 87 al. 1 LPA et 1 et 2 du règlement sur les frais, émoluments et indemnités en procédure administrative du 30 juillet 1986 (RFPA - E 5 10.03), les recourants, qui succombent, sont condamnés, pris solidairement, au paiement d’un émolument s'élevant à CHF 500.- ; il est couvert par l’avance de frais de même montant versée à la suite du dépôt du recours. Vu l’issue du litige, aucune indemnité de procédure ne sera allouée (art. 87 al. 2 LPA). 16. En vertu des art. 89 al. 2 et 111 al. 2 de la loi sur le Tribunal fédéral du 17 juin 2005 (LTF - RS 173.110), le présent jugement sera communiqué au secrétariat d'État aux migrations.</w:t>
      </w:r>
    </w:p>
    <w:p>
      <w:r>
        <w:t>- 16/16 - A/68/2022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