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JTAPI/1079/2015 vom 14. September 2015</w:t>
      </w:r>
    </w:p>
    <w:p>
      <w:r>
        <w:t>GE Cour de justice, 2015-09-14, FR</w:t>
      </w:r>
    </w:p>
    <w:p>
      <w:r>
        <w:rPr>
          <w:b/>
        </w:rPr>
        <w:t xml:space="preserve">Quelle: </w:t>
      </w:r>
      <w:r>
        <w:t>https://mcp.opencaselaw.ch/entscheid/ge_gerichte_JTAPI_1079_2015</w:t>
      </w:r>
    </w:p>
    <w:p>
      <w:r>
        <w:t>FR: GE_GERICHTE JTAPI/1079/2015 du 14 septembre 2015</w:t>
      </w:r>
    </w:p>
    <w:p>
      <w:r>
        <w:t>IT: GE_GERICHTE JTAPI/1079/2015 del 14 settembre 2015</w:t>
      </w:r>
    </w:p>
    <w:p>
      <w:pPr>
        <w:pStyle w:val="Heading2"/>
      </w:pPr>
      <w:r>
        <w:t>Regeste</w:t>
      </w:r>
    </w:p>
    <w:p>
      <w:r>
        <w:t>Résumé: Les descendants des beaux-enfants du défunt ne sauraient être imposés sur le montant reçu au titre de succession comme des héritiers de première catégorie au sens de l'art. 17 al. 6 LDS, dès lors qu'ils ne sont pas mentionnés dans cette disposition légale. Ils doivent être imposés en cinquième catégorie au sens de l'art. 21 LDS.</w:t>
      </w:r>
    </w:p>
    <w:p>
      <w:pPr>
        <w:pStyle w:val="Heading2"/>
      </w:pPr>
      <w:r>
        <w:t>Erwägungen</w:t>
      </w:r>
    </w:p>
    <w:p>
      <w:r>
        <w:rPr>
          <w:b/>
        </w:rPr>
        <w:t>E. 1</w:t>
      </w:r>
    </w:p>
    <w:p>
      <w:r>
        <w:t>Le Tribunal administratif de première instance connaît des recours dirigés, comme en l’espèce, contre des décisions de l’administration fiscale cantonale (art. 115 al.</w:t>
      </w:r>
    </w:p>
    <w:p>
      <w:r>
        <w:rPr>
          <w:b/>
        </w:rPr>
        <w:t>E. 2</w:t>
      </w:r>
    </w:p>
    <w:p>
      <w:r>
        <w:t>Interjeté en temps utile et dans les formes prescrites devant la juridiction compétente, le recours est recevable au sens des art. 67 LDS et 62 à 65 de la loi sur la procédure administrative du 12 septembre 1985 (LPA-GE - E 5 10).</w:t>
      </w:r>
    </w:p>
    <w:p>
      <w:r>
        <w:rPr>
          <w:b/>
        </w:rPr>
        <w:t>E. 3</w:t>
      </w:r>
    </w:p>
    <w:p>
      <w:r>
        <w:t>Pour le calcul des droits de succession, le taux d’impôt varie notamment suivant le lien de parenté entre le défunt et les bénéficiaires des libéralités. La LDS, à ses art. 17 à 21, range ceux-ci dans quatre catégories. La première comprend les parents en ligne directe, le conjoint survivant et alliés, en réservant le cas des personnes bénéficiant de l’exemption des droits prévue à l’art. 6A al. 1 LDS (art. 17 LDS). La troisième comprend les frères et sœurs (art. 19 LDS). La quatrième catégorie inclut les oncles, tantes, grands-oncles, grand-tantes, neveux, nièces, petits- neveux, petites-nièces (art. 20 LDS). La cinquième catégorie vise tous les cas non prévus aux art. 17 à 20 LDS (art. 21 LDS).</w:t>
      </w:r>
    </w:p>
    <w:p>
      <w:r>
        <w:rPr>
          <w:b/>
        </w:rPr>
        <w:t>E. 4</w:t>
      </w:r>
    </w:p>
    <w:p>
      <w:r>
        <w:t>Selon la jurisprudence, les parents par alliance sont taxés en cinquième catégorie (JTAPI/412/2013 du 8 avril 2013 consid. 4 et les références citées).</w:t>
      </w:r>
    </w:p>
    <w:p>
      <w:r>
        <w:rPr>
          <w:b/>
        </w:rPr>
        <w:t>E. 5</w:t>
      </w:r>
    </w:p>
    <w:p>
      <w:r>
        <w:t>A teneur de l’art. 20 al. 2 du Code civil suisse du 10 décembre 1907 (CC – RS 210), les parents en ligne directe sont ceux qui descendent l'un de l'autre, les parents en ligne collatérale ceux qui, sans descendre l'un de l'autre, descendent d'un auteur commun. Depuis la révision du CC du 30 juin 1972, entrée en vigueur le 1er avril 1973, la notion de parenté ne se limite plus à celle de parenté naturelle. Elle s’étend</w:t>
      </w:r>
    </w:p>
    <w:p>
      <w:r>
        <w:t>- 5/9 - A/3735/2014 également à la parenté adoptive. Les alliés n’y sont pas inclus (Antoine EIGENMANN, in Pascal PICHONNAZ/Bénédict FOËX [éd.], Commentaire romand, Code civil I, 2010, n. 2. ad art. 20 CC). Selon l'art. 21 al. 1 CC, les parents d'une personne sont dans la même ligne et au même degré les alliés de son conjoint ou de son partenaire enregistré. La dissolution du mariage ou du partenariat enregistré ne fait pas cesser l’alliance (art. 21 al. 2 CC). Les parâtres et marâtres ne sont pas apparentés aux enfants du conjoint, mais leur sont alliés (A. BRACONI/B. CARRON, CC &amp; CO annotés, 2013, p. 31 ad art. 20 et 21).</w:t>
      </w:r>
    </w:p>
    <w:p>
      <w:r>
        <w:rPr>
          <w:b/>
        </w:rPr>
        <w:t>E. 6</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p. 204 ; 138 III 166 consid. 3.2 p. 168 ; 136 III 283 consid. 2.3.1 p. 284 ; 135 III 640 consid. 2.3.1 p. 644 ; arrêt du Tribunal fédéral 4A_68/2014 du 16 juin 2014 consid. 5.2.1). Appelé à interpréter une loi, le juge ne privilégie aucune de ces méthodes, mais s’inspire d’un pluralisme pragmatique (ATF 139 IV 270 consid. 2.2 p. 273 ; 137 III 344 consid. 5.1 p. 348 ; 133 III 257 consid. 2.4 p. 265 ; 131 III 623 consid. 2.4.4 p. 630 ; ATA/765/2014 du 30 septembre 2014 consid. 3a; ATA/754/2015 du 28 juillet 2015 consid. 2a).</w:t>
      </w:r>
    </w:p>
    <w:p>
      <w:r>
        <w:t>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p. 565 s. ; 138 V 445 consid. 5.1 p. 451 ; 131 I 394 consid. 3.2 p. 396 ; 131 II 13 consid. 7.1 p. 31 ; 130 V 479 consid. 5.2 p. 484 ; 130 V 472 consid. 6.5.1 p. 475). En dehors du cadre ainsi défini, des considérations fondées sur le droit désirable ne permettent pas de s’écarter du texte clair de la loi surtout si elle est récente (ATF 118 II 333 consid. 3e p. 342 ; 117 II 523 consid. 1c p. 525 ; ATA/302/2014 du 29 avril 2014 consid. 3; ATA/754/2015 du 28 juillet 2015 consid. 2b).</w:t>
      </w:r>
    </w:p>
    <w:p>
      <w:r>
        <w:t>- 6/9 - A/3735/2014</w:t>
      </w:r>
    </w:p>
    <w:p>
      <w:r>
        <w:t>Les travaux préparatoires, bien qu’ils ne soient pas directement déterminants pour l’interprétation et ne lient pas le juge, ne sont pas dénués d’intérêt et peuvent s’avérer utiles pour dégager le sens d’une norme (ATF 119 II 183 consid. 4b p. 186 ; 117 II 494 consid. 6a p. 499 ; ATA/537/2008 du 28 octobre 2008 consid. 12). Ils ne seront toutefois pris en considération que s’ils donnent une réponse claire à une disposition légale ambiguë et qu’ils aient trouvé expression dans le texte de la loi (ATF 124 III 126 consid. 1b p. 129 ; arrêt du Tribunal fédéral 2C_939/2011 du 7 août 2012 consid. 4 ; ATA/581/2014 du 29 juillet 2014 consid. 4b ; ATA/202/2013 du 27 mars 2013 consid. 7; ATA/754/2015 du 28 juillet 2015 consid. 2c).</w:t>
      </w:r>
    </w:p>
    <w:p>
      <w:r>
        <w:t>Les normes fiscales sont soumises aux mêmes règles d’interprétation que les autres domaines du droit administratif. Le juge doit toutefois faire preuve d’une certaine circonspection lorsqu’il procède à leur interprétation, afin de respecter les impératifs propres à la portée particulière que revêt le principe de la légalité dans ce domaine (ATF 131 II 562 consid. 3.4 p. 567 ; ATA/219/2011 du 5 avril 2011 consid. 6b). Il s’agit, en particulier, d’éviter que soient créés, par le biais d’une interprétation extensive, de nouveaux cas d’assujettissement, de nouvelles matières imposables ou de nouveaux faits générateurs d’imposition (ATF 131 II 562 consid. 3.4 p. 567 ; ATA/765/2014 du 30 septembre 2014 consid. 3c; ATA/754/2015 du 28 juillet 2015 consid. 2d).</w:t>
      </w:r>
    </w:p>
    <w:p>
      <w:r>
        <w:rPr>
          <w:b/>
        </w:rPr>
        <w:t>E. 7</w:t>
      </w:r>
    </w:p>
    <w:p>
      <w:r>
        <w:t>Dans l'hypothèse où l'interprétation de la disposition légale topique permet de constater l'existence d'une lacune, il convient de qualifier celle-ci. Une lacune proprement dite implique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(ATF 125 III 425 consid. 3a).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ou d'une violation de la Constitution (ATF 125 III 425 consid. 3a; ATF 124 V 271 consid. 2a; ATF 122 I 253 consid. 6a et les arrêts cités). Le même principe est valable en matière de droit fiscal, où seules les lacunes proprement dites peuvent être comblées, sous réserve d'abus de droit, notamment dans les situations d'évasion fiscale (ATF 131 II 568 consid. 3.5 et les références citées). Le comblement d'une lacune proprement dite, exceptionnel, concerne le cas de réglementations contradictoires ou d'erreurs du législateur (X. OBERSON, Droit fiscal suisse, 4 ème édition, Bâle 2012, p. 62, § 10).</w:t>
      </w:r>
    </w:p>
    <w:p>
      <w:r>
        <w:t>- 7/9 - A/3735/2014</w:t>
      </w:r>
    </w:p>
    <w:p>
      <w:r>
        <w:rPr>
          <w:b/>
        </w:rPr>
        <w:t>E. 8</w:t>
      </w:r>
    </w:p>
    <w:p>
      <w:r>
        <w:t>En l'espèce, il est admis par les parties que l'art. 17 al. 6 LDS, qui énumère les personnes appartenant à la première catégorie, ne mentionne pas les descendants des beaux-fils et des belles-filles du défunt, les recourants considérant qu'il s'agit d'une omission. Le législateur a prévu, à l'art. 17 LDS, une première catégorie de personnes pour le calcul des droits de succession, qui porte le titre de "ligne directe, conjoint survivant et alliés". Cette disposition légale mentionne à son al. 6 les conjoints des descendants du défunt jusqu'aux petits-enfants inclus, les conjoints de ses ascendants jusqu'aux grands-parents inclus, les beaux-fils et belles-filles du défunt et le père et la mère du conjoint du défunt. Ainsi, le législateur a explicitement fait le choix d'inclure dans la première catégorie les conjoints des descendants et des ascendants du défunt, lesquels descendants et ascendants sont liés au de cujus par le sang, et non par alliance. Les beaux-fils et belles-filles du défunt et les père et mère du conjoint du défunt, qui n'ont pas de lien de sang avec celui-ci, sont également mentionnés. Pour ces personnes, le législateur n'a cependant pas prévu d'extension de droits à leurs descendants ou ascendants, lesquels n'auraient, par la force des choses, pas de lien de sang non plus avec le défunt. A la lecture de l'art. 17 al. 6 LDS, deux catégories distinctes d'individus peuvent être identifiées, soit les conjoints de personnes ayant des liens de sang avec le défunt et les personnes n'ayant que des liens d'alliance avec celui-ci, pour lesquels aucune mention des descendants ou ascendants n'est faite. Le fait que l'al. 6 de l'art. 17 LDS mentionne clairement le conjoint des descendants et ascendants du défunt mais ne prévoit cette possibilité ni pour le cas des beaux-fils et belles-filles du défunt ni pour les père et mère de son conjoint démontre que le législateur a agi en connaissance de cause et qu'il ne peut s'agir d'un oubli. S'il l'a prévu dans certaines hypothèses, il aurait également pu le prévoir dans d'autres. L'absence de mention des descendants des beaux-fils et belles-filles à l'art. 17 al. 6 LDS, tout comme l'absence de mention des descendants et ascendants des père et mère du conjoint n'a toutefois pas pour conséquence que leur situation resterait non réglée par la loi, dès lors que l'art. 21 LDS leur sera applicable. Par conséquent, le tribunal considère que le législateur a volontairement renoncé à mentionner à l'art. 17 al. 6 LDS les descendants des beaux-fils et belles-filles du défunt, comme il n'a d'ailleurs pas mentionné spécifiquement d'autres personnes, telles que par exemple les descendants des petits-neveux et petites-nièces, en quatrième catégorie. Il s'agit donc d'un silence qualifié, ne requérant pas l'intervention du juge.</w:t>
      </w:r>
    </w:p>
    <w:p>
      <w:r>
        <w:t>- 8/9 - A/3735/2014 Enfin, l'effectivité des relations entretenues avec le défunt est pour le surplus sans incidence sur le classement dans les catégories prévues par la loi. Peu importe également que les familles recomposées aient été moins nombreuses lorsque cette disposition légale est entrée en vigueur, dès lors que, comme l'admettent les recourants, les familles recomposées existaient déjà à ce moment et étaient donc connues du législateur.</w:t>
      </w:r>
    </w:p>
    <w:p>
      <w:r>
        <w:rPr>
          <w:b/>
        </w:rPr>
        <w:t>E. 9</w:t>
      </w:r>
    </w:p>
    <w:p>
      <w:r>
        <w:t>Au vu de ce qui précède, c’est à bon droit que l’AFC a considéré que L____ X____, V____ X____ et C____ Y____ appartenaient à la cinquième catégorie de droits de succession prévue par l'art. 21 LDS. La décision querellée sera confirmée et le recours rejeté.</w:t>
      </w:r>
    </w:p>
    <w:p>
      <w:r>
        <w:rPr>
          <w:b/>
        </w:rPr>
        <w:t>E. 10</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il est couvert par l’avance de frais versée à la suite du dépôt du recours.</w:t>
      </w:r>
    </w:p>
    <w:p>
      <w:r>
        <w:t>- 9/9 - A/3735/2014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