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JTAPI/1076/2023 vom 4. Oktober 2023</w:t>
      </w:r>
    </w:p>
    <w:p>
      <w:r>
        <w:t>GE Cour de justice, 2023-10-04, FR</w:t>
      </w:r>
    </w:p>
    <w:p>
      <w:r>
        <w:rPr>
          <w:b/>
        </w:rPr>
        <w:t xml:space="preserve">Quelle: </w:t>
      </w:r>
      <w:r>
        <w:t>https://mcp.opencaselaw.ch/entscheid/ge_gerichte_JTAPI_1076_2023</w:t>
      </w:r>
    </w:p>
    <w:p>
      <w:r>
        <w:t>FR: GE_GERICHTE JTAPI/1076/2023 du 4 octobre 2023</w:t>
      </w:r>
    </w:p>
    <w:p>
      <w:r>
        <w:t>IT: GE_GERICHTE JTAPI/1076/2023 del 4 ottobre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En l'occurrence, il s'agit donc tout d'abord de déterminer si l'objet du litige constitue une décision relative au statut d'une personne étrangère, au sens des dispositions susmentionnées.</w:t>
      </w:r>
    </w:p>
    <w:p>
      <w:r>
        <w:rPr>
          <w:b/>
        </w:rPr>
        <w:t>E. 3</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w:t>
      </w:r>
    </w:p>
    <w:p>
      <w:r>
        <w:rPr>
          <w:b/>
        </w:rPr>
        <w:t>E. 4</w:t>
      </w:r>
    </w:p>
    <w:p>
      <w:r>
        <w:t>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(ATA/327/2023 du 28 mars 2023 consid. 2.1 et les arrêts cités).</w:t>
      </w:r>
    </w:p>
    <w:p>
      <w:r>
        <w:rPr>
          <w:b/>
        </w:rPr>
        <w:t>E. 5</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1C_150/2020 du 24 septembre 2020 consid. 5.2 et l’arrêt cité ; 1C_593/2016 du 11 septembre 2017 consid. 2.2 ; ATA/743/2021 du 13 juillet 2021 consid. b ; Thierry TANQUEREL, Manuel de droit administratif, 2e éd., 2018, p. 279 ss n. 783 ss ; Ulrich HÄFELIN/Georg MÜLLER/Felix UHLMANN, Allgemeines Verwaltungsrecht, 8e éd., 2020, p. 199 n. 874 ss ; Pierre MOOR/Étienne POLTIER, Droit administratif, vol. 2, 3e éd., 2011, p. 179 ss n. 2.1.2.1 ss et 245 n. 2.2.3.3).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possèdent pas un tel caractère, ils ne sont pas sujets à recours (ATA/505/2021 du 11 mai 2021 consid. 4a ; ATA/1308/2018 du 5 décembre 2018 consid. 8c et les arrêts cités ; Alfred KÖLZ/Isabelle HÄNER/Martin BERTSCHI,</w:t>
      </w:r>
    </w:p>
    <w:p>
      <w:r>
        <w:t>- 5/10 - A/1582/2023 Verwaltungsverfahren und Verwaltungsrechtspflege des Bundes, 3e éd., 2013, p. 309 s. ; Pierre MOOR/Étienne POLTIER, op. cit., p. 180 n. 2.1.2.1).</w:t>
      </w:r>
    </w:p>
    <w:p>
      <w:r>
        <w:rPr>
          <w:b/>
        </w:rPr>
        <w:t>E. 6</w:t>
      </w:r>
    </w:p>
    <w:p>
      <w:r>
        <w:t>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 Pierre MOOR/Étienne POLTIER, op. cit., p. 194 n. 2.1.1.1). De nature unilatérale, une décision se réfère à la loi dont elle reproduit le contenu normatif de la règle (Thierry TANQUEREL, op. cit, p. 285 n. 798 ; Pierre MOOR/Étienne POLTIER, op. cit., p. 174 n. 2.1.1.1).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(ATA/29/2023 du 17 janvier 2023 consid. 3b et l’arrêt cité ; Jacques DUBEY/Jean-Baptiste ZUFFEREY, op. cit., p. 320 n. 876).</w:t>
      </w:r>
    </w:p>
    <w:p>
      <w:r>
        <w:rPr>
          <w:b/>
        </w:rPr>
        <w:t>E. 7</w:t>
      </w:r>
    </w:p>
    <w:p>
      <w:r>
        <w:t>Constitue ainsi une décision un acte étatique qui touche la situation juridique de l’intéressé, l’astreignant à faire, à s’abstenir ou à tolérer quelque chose, ou qui règle d’une autre manière obligatoire ses rapports avec l’État (arrêt du Tribunal fédéral 1C_150/2020 du 24 septembre 2020 consid. 5.2 et l’arrêt cité ; Stéphane GRODECKI/Romain JORDAN, Code annoté de procédure genevoise, 2017, p. 18 n. 66).</w:t>
      </w:r>
    </w:p>
    <w:p>
      <w:r>
        <w:rPr>
          <w:b/>
        </w:rPr>
        <w:t>E. 8</w:t>
      </w:r>
    </w:p>
    <w:p>
      <w:r>
        <w:t>Eu égard aux développements qui précèdent, il ne s'agit pas de retenir une vision étroite des effets juridiques d'une décision, qui ne se rapporteraient qu'à son objet principal – par exemple la délivrance ou le refus d'une autorisation. La notion de décision s'étend au contraire à l'ensemble de ses modalités, par exemple à des conditions qui délimitent la portée des droits octroyés, mais plus généralement à un certain nombre d'« informations » contenues dans la décision et qui, en réalité, en définissent le cadre spécifique. A cet égard, il suffit d'évoquer l'exemple du nom du destinataire de la décision, dans la mesure où une erreur commise à ce sujet (par inadvertance ou par suite d'une analyse erronée de la part de l'autorité) met à la place du véritable sujet de droits ou d'obligations, respectivement en en privant ce dernier ou en lui permettant d'y échapper, un tiers qui n'a pas à devenir titulaire de ces droits ni à être soumis à ces obligations.</w:t>
      </w:r>
    </w:p>
    <w:p>
      <w:r>
        <w:rPr>
          <w:b/>
        </w:rPr>
        <w:t>E. 9</w:t>
      </w:r>
    </w:p>
    <w:p>
      <w:r>
        <w:t>En l'occurrence, dans l'autorisation de séjour de type C (autorisation d'établissement) délivrée à la recourante le 6 avril 2023, la mention de sa durée de validité jusqu’au 15 décembre 2026 n'est pas explicitement désignée en tant que condition de cette autorisation, mais apparaît plutôt comme une simple mention. Il s'agit pourtant, à l'évidence, d'une modalité essentielle de la décision, d'ailleurs inexacte selon ce que l'autorité intimée a admis en s'engageant à porter cette durée au 31 janvier 2028 – ce dont il conviendra de lui donner acte.</w:t>
      </w:r>
    </w:p>
    <w:p>
      <w:r>
        <w:t>- 6/10 - A/1582/2023</w:t>
      </w:r>
    </w:p>
    <w:p>
      <w:r>
        <w:rPr>
          <w:b/>
        </w:rPr>
        <w:t>E. 10</w:t>
      </w:r>
    </w:p>
    <w:p>
      <w:r>
        <w:t>Quant au nom de C______ qui figure sur ce document, on pourrait être tenté a priori d'y voir une mention n'ayant aucune dimension juridique et qui ne pourrait ainsi pas faire l'objet d'un recours. Cependant, outre qu'une erreur sur ce point est susceptible, comme on l'a vu plus haut, de priver de ses droits la personne qui en est la titulaire légitime, le simple fait de désigner le véritable destinataire de la décision sous un nom incorrect constitue une atteinte à son droit à la protection de son nom, tel qu'il découle de la protection de la vie privée garantie par l'art. 13 de la Constitution fédérale de la Confédération suisse du 18 avril 1999 (Cst. - RS 101) (AUBERSON Géraldine, Personnalités publiques et vie privée, 2013, p. 181).</w:t>
      </w:r>
    </w:p>
    <w:p>
      <w:r>
        <w:rPr>
          <w:b/>
        </w:rPr>
        <w:t>E. 11</w:t>
      </w:r>
    </w:p>
    <w:p>
      <w:r>
        <w:t>Il en découle que la mention du nom de la recourante sur la décision litigieuse est susceptible de porter atteinte à ses droits et fait donc partie des effets juridiques de la décision litigieuse. La contestation relative à cette mention peut donc être portée à la connaissance du tribunal de céans, qui est compétent pour en connaître.</w:t>
      </w:r>
    </w:p>
    <w:p>
      <w:r>
        <w:rPr>
          <w:b/>
        </w:rPr>
        <w:t>E. 12</w:t>
      </w:r>
    </w:p>
    <w:p>
      <w:r>
        <w:t>Par ailleurs, interjeté en temps utile et dans les formes prescrites devant la juridiction compétente, le recours est recevable au sens des art. 60 et 62 à 65 de la loi sur la procédure administrative du 12 septembre 1985 (LPA - E 5 10).</w:t>
      </w:r>
    </w:p>
    <w:p>
      <w:r>
        <w:rPr>
          <w:b/>
        </w:rPr>
        <w:t>E. 13</w:t>
      </w:r>
    </w:p>
    <w:p>
      <w:r>
        <w:t>Suite à la correction qui sera faite par l'autorité intimée au sujet de la durée du permis d'établissement de la recourante, l'objet du litige ne réside plus que dans le nom de famille inscrit sur ce document. A cet égard, il convient d'emblée de relever que la recourante ne prétend pas qu'il ne s'agirait pas de son véritable nom de famille, mais souligne que ce nom n'a jusqu'ici jamais été utilisé en Suisse, que ce soit par elle-même ou par les autorités, auprès desquelles elle est connue sous le nom de B______ et non pas de C______. Il faut également relever que selon les déterminations de l'autorité intimée, la recourante pourra continuer à se légitimer auprès de l'ensemble des autorités suisses sous son nom de B______, qui correspond à celui sous lequel elle est inscrite dans les registres de l'état civil.</w:t>
      </w:r>
    </w:p>
    <w:p>
      <w:r>
        <w:rPr>
          <w:b/>
        </w:rPr>
        <w:t>E. 14</w:t>
      </w:r>
    </w:p>
    <w:p>
      <w:r>
        <w:t>La question est donc de savoir si c'est à juste titre que l'autorité intimée, malgré l'identité de B______ sous laquelle la recourante continuera officiellement à vivre en Suisse, a inscrit dans son permis d'établissement le nom de C______, B______ devenant l'un de ses deux prénoms.</w:t>
      </w:r>
    </w:p>
    <w:p>
      <w:r>
        <w:rPr>
          <w:b/>
        </w:rPr>
        <w:t>E. 15</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d'Ethiopie.</w:t>
      </w:r>
    </w:p>
    <w:p>
      <w:r>
        <w:t>- 7/10 - A/1582/2023</w:t>
      </w:r>
    </w:p>
    <w:p>
      <w:r>
        <w:rPr>
          <w:b/>
        </w:rPr>
        <w:t>E. 16</w:t>
      </w:r>
    </w:p>
    <w:p>
      <w:r>
        <w:t>Selon l'art. 41 LEI, l’étranger reçoit en règle générale un titre de séjour qui indique le type d’autorisation dont il est titulaire (al. 1). L’étranger admis à titre provisoire reçoit un titre de séjour qui indique son statut juridique (al. 2). À des fins de contrôle, le titre de séjour du titulaire d’une autorisation d’établissement est remis pour une durée de cinq ans. (al. 3). Le titre de séjour peut être muni d’une puce. Celle-ci contient la photographie et les empreintes digitales du titulaire ainsi que les données inscrites dans la zone lisible par machine (al. 4). Le Conseil fédéral définit quelles personnes disposent d’un titre de séjour à puce et quelles données doivent y être enregistrées (al. 5). Le SEM détermine la forme et le contenu des titres de séjour. Il peut charger des tiers, en tout ou en partie, de la confection des titres de séjour (al. 6).</w:t>
      </w:r>
    </w:p>
    <w:p>
      <w:r>
        <w:rPr>
          <w:b/>
        </w:rPr>
        <w:t>E. 17</w:t>
      </w:r>
    </w:p>
    <w:p>
      <w:r>
        <w:t>En application de cette disposition, l'art. 71C OASA prévoit que conformément au règlement (CE) no 1030/2002144, le titre de séjour biométrique est équipé d’une puce contenant une image du visage, deux empreintes digitales et les données du titulaire inscrites dans la zone lisible par la machine.</w:t>
      </w:r>
    </w:p>
    <w:p>
      <w:r>
        <w:rPr>
          <w:b/>
        </w:rPr>
        <w:t>E. 18</w:t>
      </w:r>
    </w:p>
    <w:p>
      <w:r>
        <w:t>Selon l'art. 1 du Règlement (CE) n° 1030/2002 du Conseil du 13 juin 2002 (ci- après : le Règlement (CE) n° 1030/2002 établissant un modèle uniforme de titre de séjour pour les ressortissants de pays tiers, les titres de séjour délivrés par les États membres aux ressortissants des pays tiers sont établis selon un modèle uniforme (§ 1). Constitue un titre de séjour au sens de cette disposition toute autorisation délivrée par les autorités d'un État membre et permettant à un ressortissant d'un pays tiers de séjourner légalement sur son territoire (§2).</w:t>
      </w:r>
    </w:p>
    <w:p>
      <w:r>
        <w:rPr>
          <w:b/>
        </w:rPr>
        <w:t>E. 19</w:t>
      </w:r>
    </w:p>
    <w:p>
      <w:r>
        <w:t>Le Règlement (CE) n° 380/2008 du Conseil du 18 avril 2008 (ci-après : Règlement (CE) n° 380/2008) a apporté plusieurs modifications au Règlement (CE) n° 1030/2002, concernant notamment la let. a de son Annexe, qui prévoit désormais que le titre de séjour, qui comporte les données biométriques, est établi sous la forme d’un document séparé de format ID 1 ou ID 2. Il s’inspire des spécifications des documents de l’OACI sur les visas lisibles à la machine (document 9303, partie 2) ou sur les documents de voyage lisibles à la machine (cartes) (document 9303, partie 3).</w:t>
      </w:r>
    </w:p>
    <w:p>
      <w:r>
        <w:rPr>
          <w:b/>
        </w:rPr>
        <w:t>E. 20</w:t>
      </w:r>
    </w:p>
    <w:p>
      <w:r>
        <w:t>Ces modifications ne touchent cependant pas la rubrique portant le numéro 10 de l'Annexe let. a du Règlement (CE) n° 1030/2002, qui décrit le contenu de la rubrique correspondante figurant sur les modèles de titres de séjour reproduits dans l'Annexe, en indiquant qu'il s'agit d'un espace réservé à la lecture machine, cette zone de lecture devant être conforme aux normes de l'OACI.</w:t>
      </w:r>
    </w:p>
    <w:p>
      <w:r>
        <w:rPr>
          <w:b/>
        </w:rPr>
        <w:t>E. 21</w:t>
      </w:r>
    </w:p>
    <w:p>
      <w:r>
        <w:t>L'Organisation de l'aviation civile internationale (OACI) est une organisation des Nations Unies (ONU) qui poursuit ses buts et objectifs notamment en édictant des normes et des recommandations de nature technique et en harmonisant le droit aérien (https://www.bazl.admin.ch/bazl/fr/home/themen/bases-legales/affaires-</w:t>
      </w:r>
    </w:p>
    <w:p>
      <w:r>
        <w:t>- 8/10 - A/1582/2023 internationales/organisation-de-l-aviation-civile-internationale--oaci-.html ; consulté le 4 octobre 2023).</w:t>
      </w:r>
    </w:p>
    <w:p>
      <w:r>
        <w:rPr>
          <w:b/>
        </w:rPr>
        <w:t>E. 22</w:t>
      </w:r>
    </w:p>
    <w:p>
      <w:r>
        <w:t>Le document 9303 édicté par l'OACI, auquel renvoie le Règlement (CE) n° 380/2008, précise, dans sa huitième édition, année 2021, partie 3, Spécifications communes à tous les DVLM [documents de voyage lisibles par machine], les informations que doivent comporter les DVLM délivrés par les Etats (notamment les documents d'identité, tels que passeports nationaux), ainsi que les nombreuses caractéristiques formelles auxquelles doivent répondre ces informations. Ces dernières sont réparties dans deux zones distinctes des DVLM, à savoir, d'une part, la zone d'inspection visuelle (ZIV) et, d'autre part, la zone de lecture automatique (ZLA). Les données de la ZLA sont formatées pour être lisibles par des appareils de lecture normalisés à l’échelle mondiale (document 9303, partie 3, point 4.1). Selon le document 9303, partie 3, point 4.6, cette zone comporte le nom du titulaire du DVLM qui, bien que représenté différemment que dans la ZIV, n'en n'est pas moins identique dans son contenu. Le document 9303, partie 3, point 3.4, précise que le nom du titulaire est généralement représenté en deux parties : l’identifiant primaire et l’identifiant secondaire. L’État émetteur ou l’organisation émettrice doit établir quelle partie du nom est l’identifiant primaire ; celui-ci peut être le nom de famille, le nom de jeune fille ou le nom marital, le nom principal, le patronyme et dans certains cas le nom entier lorsque le nom du titulaire ne peut pas être divisé en deux parties. C’est ce qui doit être inscrit dans le champ réservé à l’identifiant primaire dans la ZIV. Les autres parties du nom constituent l’identifiant secondaire : il peut s’agir de prénoms, de noms familiers, de surnoms, d’initiales ou d’autres noms secondaires.</w:t>
      </w:r>
    </w:p>
    <w:p>
      <w:r>
        <w:rPr>
          <w:b/>
        </w:rPr>
        <w:t>E. 23</w:t>
      </w:r>
    </w:p>
    <w:p>
      <w:r>
        <w:t>Il découle de ce qui précède que lorsqu'un passeport national répond aux prescription du document 9303 de l'OACI, les indications qui y figurent dans la ZLA au titre de l'identifiant primaire et de l'identifiant secondaire du titulaire du passeport, doivent être reprises telles quelles dans un titre de séjour délivré en application du Règlement (CE) n° 1030/2002 et du Règlement (CE) n° 380/2008 et qu'elles doivent figurer dans l'espace réservé à la lecture machine de ce titre de séjour. Il s'agit d'une reprise automatique, aucune disposition de ces deux règlements n'autorisant le titulaire du titre de séjour à demander à y faire figurer d'autres identifiants que ceux qui sont indiqués dans son passeport national.</w:t>
      </w:r>
    </w:p>
    <w:p>
      <w:r>
        <w:rPr>
          <w:b/>
        </w:rPr>
        <w:t>E. 24</w:t>
      </w:r>
    </w:p>
    <w:p>
      <w:r>
        <w:t>Au vu de ce qui précède, c'est à bon droit et d'ailleurs sans aucune marge d'appréciation que l'OCPM a fait figurer dans le permis C de la recourante le nom de famille C______ et les prénoms A______ B______.</w:t>
      </w:r>
    </w:p>
    <w:p>
      <w:r>
        <w:rPr>
          <w:b/>
        </w:rPr>
        <w:t>E. 25</w:t>
      </w:r>
    </w:p>
    <w:p>
      <w:r>
        <w:t>Le recours sera donc rejeté sur ce point. Compte tenu de la rectification dont l'OCPM a reconnu la justification concernant la date de contrôle du titre de séjour, le recours sera partiellement admis au sens du considérant 9.</w:t>
      </w:r>
    </w:p>
    <w:p>
      <w:r>
        <w:t>- 9/10 - A/1582/2023</w:t>
      </w:r>
    </w:p>
    <w:p>
      <w:r>
        <w:rPr>
          <w:b/>
        </w:rPr>
        <w:t>E. 26</w:t>
      </w:r>
    </w:p>
    <w:p>
      <w:r>
        <w:t>Vu l'issue du litige, un émolument réduit de CHF 300.- sera mis à la charge de la recourante (art. 87 al. 1 LPA et 1 et 2 du règlement sur les frais, émoluments et indemnités en procédure administrative du 30 juillet 1986 - RFPA - E 5 10.03).</w:t>
      </w:r>
    </w:p>
    <w:p>
      <w:r>
        <w:rPr>
          <w:b/>
        </w:rPr>
        <w:t>E. 27</w:t>
      </w:r>
    </w:p>
    <w:p>
      <w:r>
        <w:t>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28</w:t>
      </w:r>
    </w:p>
    <w:p>
      <w:r>
        <w:t>La recourante ayant agi en personne, il ne sera pas alloué d'indemnité de procédure (art. 87 al. 2 LPA).</w:t>
      </w:r>
    </w:p>
    <w:p>
      <w:r>
        <w:rPr>
          <w:b/>
        </w:rPr>
        <w:t>E. 29</w:t>
      </w:r>
    </w:p>
    <w:p>
      <w:r>
        <w:t>En vertu des art. 89 al. 2 et 111 al. 2 de la loi sur le Tribunal fédéral du 17 juin 2005 (LTF - RS 173.110), le présent jugement sera communiqué au secrétariat d'État aux migrations.</w:t>
      </w:r>
    </w:p>
    <w:p>
      <w:r>
        <w:t>- 10/10 - A/1582/2023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