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JTAPI/1073/2024 vom 14. Dezember 2023</w:t>
      </w:r>
    </w:p>
    <w:p>
      <w:r>
        <w:t>GE Cour de justice, 2023-12-14, FR</w:t>
      </w:r>
    </w:p>
    <w:p>
      <w:r>
        <w:rPr>
          <w:b/>
        </w:rPr>
        <w:t xml:space="preserve">Quelle: </w:t>
      </w:r>
      <w:r>
        <w:t>https://mcp.opencaselaw.ch/entscheid/ge_gerichte_JTAPI_1073_2024</w:t>
      </w:r>
    </w:p>
    <w:p>
      <w:r>
        <w:t>FR: GE_GERICHTE JTAPI/1073/2024 du 14 décembre 2023</w:t>
      </w:r>
    </w:p>
    <w:p>
      <w:r>
        <w:t>IT: GE_GERICHTE JTAPI/1073/2024 del 14 dicembre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des art. 49 LPFisc et 17 de la loi sur l'imposition à la source des personnes physiques et morales du 16 janvier 2020 (LISP - D 3 20).</w:t>
      </w:r>
    </w:p>
    <w:p>
      <w:r>
        <w:rPr>
          <w:b/>
        </w:rPr>
        <w:t>E. 3</w:t>
      </w:r>
    </w:p>
    <w:p>
      <w:r>
        <w:t>Selon l’art. 38E al. 1 LPFisc, le contribuable peut, jusqu’au 31 mars de l’année fiscale qui suit l’échéance de la prestation, exiger que l’autorité fiscale rende une décision relative à l’existence et l’étendue de l’assujettissement : a) s’il conteste l’impôt à la source indiqué sur l’attestation mentionnée à l’art. 38A al. 1 let. b LPFisc ou b) si l’employeur ne lui a pas remis l’attestation mentionnée à l’art. 38A al. 1 let. b LPFisc.</w:t>
      </w:r>
    </w:p>
    <w:p>
      <w:r>
        <w:rPr>
          <w:b/>
        </w:rPr>
        <w:t>E. 4</w:t>
      </w:r>
    </w:p>
    <w:p>
      <w:r>
        <w:t>La jurisprudence (ATA/549/2024 du 30 avril 2024) a retenu que l’étendue de l’assujettissement comporte le montant de la retenue à la source et le barème appliqué, si bien qu’une demande de rectification du barème pour une charge de famille doit être déposée dans un délai échéant le 31 mars suivant l’année fiscale concernée.</w:t>
      </w:r>
    </w:p>
    <w:p>
      <w:r>
        <w:rPr>
          <w:b/>
        </w:rPr>
        <w:t>E. 5</w:t>
      </w:r>
    </w:p>
    <w:p>
      <w:r>
        <w:t>En l’espèce, le contribuable admet avoir déposé le 20 avril 2022 sa demande de rectification de l’IS 2021, portant sur la prise en considération de deux charges de famille. Conformément à la jurisprudence, cette déclaration lui est opposable (arrêt du Tribunal fédéral 2C_637/2007 du 4 avril 2008, consid. 2.3 et 2.4.1). Il convient dès lors de retenir que sa demande a été introduite tardivement. Cela étant, il sollicite une restitution de délai.</w:t>
      </w:r>
    </w:p>
    <w:p>
      <w:r>
        <w:rPr>
          <w:b/>
        </w:rPr>
        <w:t>E. 6</w:t>
      </w:r>
    </w:p>
    <w:p>
      <w:r>
        <w:t>Un délai inobservé est restitué si la personne contribuable exécute l’acte omis dans les 30 jours qui suivent la disparition de l’empêchement et prouve qu’elle a été empêchée d’agir en temps utile pour des motifs sérieux (art. 21 al. 3 LPFisc).</w:t>
      </w:r>
    </w:p>
    <w:p>
      <w:r>
        <w:rPr>
          <w:b/>
        </w:rPr>
        <w:t>E. 7</w:t>
      </w:r>
    </w:p>
    <w:p>
      <w:r>
        <w:t>La restitution du délai de recours ne peut être accordée que si le contribuable et son éventuel représentant ont été empêchés d'agir dans le délai, sans faute de leur part.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La règle d'après laquelle celui qui a été empêché, sans sa faute, d'interjeter un recours dans le délai fixé peut demander la restitution de ce délai constitue un principe général du droit, découlant du principe de proportionnalité et de l'interdiction du formalisme excessif (arrêt du Tribunal fédéral 2C_737/2018 du 20 juin 2019 consid. 4.1 non publié aux ATF 145 II 201).</w:t>
      </w:r>
    </w:p>
    <w:p>
      <w:r>
        <w:t>- 4/5 - A/392/2024</w:t>
      </w:r>
    </w:p>
    <w:p>
      <w:r>
        <w:rPr>
          <w:b/>
        </w:rPr>
        <w:t>E. 8</w:t>
      </w:r>
    </w:p>
    <w:p>
      <w:r>
        <w:t>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(arrêt du Tribunal fédéral 2C_287/2022 du 4 mai 2022 consid. 5.1). Même une incapacité de travail totale n'exclut pas une simple activité administrative tendant à confier à un mandataire externe la défense de ses intérêts (arrêt du Tribunal fédéral 2F_33/2020 du 22 décembre 2020 consid. 4 et les réf.).</w:t>
      </w:r>
    </w:p>
    <w:p>
      <w:r>
        <w:rPr>
          <w:b/>
        </w:rPr>
        <w:t>E. 9</w:t>
      </w:r>
    </w:p>
    <w:p>
      <w:r>
        <w:t>En l’occurrence, le recourant se prévaut d’un certificat médical établi le 18 mai 2023 par la Dresse C______, à teneur duquel l’état de santé de l’intéressé a motivé un arrêt de travail du 17 novembre 2021 au 30 juin 2023 inclus. Or, la lecture de cette attestation, même si elle confirme le fait que le recourant a été atteint dans sa santé durant la période susmentionnée, ne permet pas de conclure qu’il a été victime d’un empêchement non fautif au sens où l’entend la jurisprudence. Par ailleurs, il n’a en rien démontré en quoi le fait d’être très limité dans ses déplacements au 31 mars 2022 ne lui a pas permis de désigner un mandataire. Il apparaît au contraire que son problème médical ne l’a pas empêché de s’occuper de ses affaires fiscales puisque le 20 avril 2022, soit lorsqu’il se trouvait encore en incapacité de travail, dès lors qu'il a été en mesure de déposer une demande de rectification de son imposition à la source. Enfin, les griefs tirés des principes de l’interdiction du formalisme excessif et de l’application du principe de la proportionnalité doivent être rejetés. En effet, le tribunal les a déjà implicitement examinés, étant donné que le droit à la restitution du délai découle de leur application.</w:t>
      </w:r>
    </w:p>
    <w:p>
      <w:r>
        <w:rPr>
          <w:b/>
        </w:rPr>
        <w:t>E. 10</w:t>
      </w:r>
    </w:p>
    <w:p>
      <w:r>
        <w:t>Ne reposant sur aucun motif valable, le recours doit être rejeté.</w:t>
      </w:r>
    </w:p>
    <w:p>
      <w:r>
        <w:rPr>
          <w:b/>
        </w:rPr>
        <w:t>E. 11</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w:t>
      </w:r>
    </w:p>
    <w:p>
      <w:r>
        <w:t>- 5/5 - A/392/2024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