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JTAPI/1071/2023 vom 4. Oktober 2023</w:t>
      </w:r>
    </w:p>
    <w:p>
      <w:r>
        <w:t>GE Cour de justice, 2023-10-04, FR</w:t>
      </w:r>
    </w:p>
    <w:p>
      <w:r>
        <w:rPr>
          <w:b/>
        </w:rPr>
        <w:t xml:space="preserve">Quelle: </w:t>
      </w:r>
      <w:r>
        <w:t>https://mcp.opencaselaw.ch/entscheid/ge_gerichte_JTAPI_1071_2023</w:t>
      </w:r>
    </w:p>
    <w:p>
      <w:r>
        <w:t>FR: GE_GERICHTE JTAPI/1071/2023 du 4 octobre 2023</w:t>
      </w:r>
    </w:p>
    <w:p>
      <w:r>
        <w:t>IT: GE_GERICHTE JTAPI/1071/2023 del 4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w:t>
      </w:r>
    </w:p>
    <w:p>
      <w:r>
        <w:t>- 7/10 - A/1934/2023 ATA/386/2018 du 24 avril 2018 consid. 1b ; ATA/117/2016 du 9 février 2016 consid. 2 ; ATA/723/2015 du 14 juillet 2015 consid. 4a).</w:t>
      </w:r>
    </w:p>
    <w:p>
      <w:r>
        <w:rPr>
          <w:b/>
        </w:rPr>
        <w:t>E. 5</w:t>
      </w:r>
    </w:p>
    <w:p>
      <w:r>
        <w:t>Le recourant ne conteste pas que les conditions d’octroi d’une autorisation de séjour pour cas de rigueur au sens des art. 30 al. 1 let. b LEI et 31 OASA ne sont pas remplies. Il estime par contre que l’OCPM aurait dû lui octroyer une autorisation de séjour fondée sur l’art. 32 al. 1 let. d OASA, soit en vue de préserver des intérêts publics majeurs, à savoir, en l’espèce, le plein exercice de ses droits procéduraux et le respect des garanties constitutionnelles de procédure judiciaire dans la procédure pénale en cours ouverte à son encontre.</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Pérou.</w:t>
      </w:r>
    </w:p>
    <w:p>
      <w:r>
        <w:rPr>
          <w:b/>
        </w:rPr>
        <w:t>E. 7</w:t>
      </w:r>
    </w:p>
    <w:p>
      <w:r>
        <w:t>Les conditions d'entrée d'un étranger en Suisse sont réglées par les art. 5 ss LEI. Quant aux dérogations aux prescriptions générales d'admission (art. 18 à 29 LEI), elles sont énoncées de manière exhaustive à l'art. 30 al. 1 LEI et le Conseil fédéral a fixé les conditions et la procédure dans l'OASA (art. 30 al. 2 LEI).</w:t>
      </w:r>
    </w:p>
    <w:p>
      <w:r>
        <w:rPr>
          <w:b/>
        </w:rPr>
        <w:t>E. 8</w:t>
      </w:r>
    </w:p>
    <w:p>
      <w:r>
        <w:t>A teneur de l'art. 30 al. 1 let. b LEI, il est possible de déroger aux conditions d’admission (art. 18 à 29 LEI) afin de tenir compte des cas individuels d’une extrême gravité ou d’intérêts publics majeurs. Il ressort de la formulation de cette disposition rédigée en la forme potestative que l'étranger n'a aucun droit à l'octroi d'une dérogation aux conditions d'admission.</w:t>
      </w:r>
    </w:p>
    <w:p>
      <w:r>
        <w:rPr>
          <w:b/>
        </w:rPr>
        <w:t>E. 9</w:t>
      </w:r>
    </w:p>
    <w:p>
      <w:r>
        <w:t>C'est ainsi dans le but de préserver ces intérêts que l'art. 32 OASA prévoit la possibilité d'accorder une autorisation de courte durée ou une autorisation de séjour même si les conditions d'admission ne sont pas remplies. Selon cette disposition, une autorisation de courte durée ou une autorisation de séjour peut être accordée en vue de préserver des intérêts publics majeurs. Lors de l'appréciation, il convient notamment de tenir compte : des intérêts culturels importants (let. a); des motifs d'ordre politique (let. b); des intérêts cantonaux majeurs en matière de fiscalité (let. c); la nécessité de la présence d'un étranger dans une procédure pénale (let. d).</w:t>
      </w:r>
    </w:p>
    <w:p>
      <w:r>
        <w:rPr>
          <w:b/>
        </w:rPr>
        <w:t>E. 10</w:t>
      </w:r>
    </w:p>
    <w:p>
      <w:r>
        <w:t>L’expression « intérêts publics majeurs » au sens des dispositions précitées constitue une notion juridique indéterminée. Une application trop large serait incompatible avec la LEI et l’OASA (Directives LEI – version remaniée d’octobre 2013, état au 1er septembre 2023 - ch. 5.5.1).</w:t>
      </w:r>
    </w:p>
    <w:p>
      <w:r>
        <w:t>- 8/10 - A/1934/2023</w:t>
      </w:r>
    </w:p>
    <w:p>
      <w:r>
        <w:rPr>
          <w:b/>
        </w:rPr>
        <w:t>E. 11</w:t>
      </w:r>
    </w:p>
    <w:p>
      <w:r>
        <w:t>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 faits, il est très rare que des autorisations de séjour de courte durée soient accordées en application de l'art. 30 al. 1 let. b LEI, en lien avec l'art. 32 al. 1 OASA. La compétence d'accorder une autorisation de séjour sur la base d’« intérêts publics majeurs » revient aux cantons. Ce sont eux qui décident, de leur propre initiative, de faire une demande en ce sens auprès du SEM, qui prend la décision finale. L’autorité cantonale doit cependant démontrer qu’elle a un intérêt particulièrement important. Il s'agit toujours de décisions au cas par cas. (Réponse du Conseil fédéral du 21 mai 2014 à la question 14.1014 déposée, le 20 avril 2014, par Jacqueline BADRAN au Conseil National; directives op. cit.).</w:t>
      </w:r>
    </w:p>
    <w:p>
      <w:r>
        <w:rPr>
          <w:b/>
        </w:rPr>
        <w:t>E. 12</w:t>
      </w:r>
    </w:p>
    <w:p>
      <w:r>
        <w:t>En l'espèce, l’OCPM - qui a au premier chef la tâche d'appliquer la LEI et l'OASA de manière à préserver les buts d'intérêt public qu'ils poursuivent - a dûment interpellé le Ministère public afin de déterminer la nécessité de la présence du recourant dans le cadre de la procédure pénale dirigée à son encontre. Par courrier du 6 avril 2023, le Ministère public a indiqué que la présence en Suisse de l'intéressé n'était pas indispensable. Fort de ces renseignements, l'OCPM a considéré que la condition de l'art. 32 al. 1 let. d OASA n'était pas remplie et aucun élément ne permet de retenir qu'il aurait excédé ou abusé de son pouvoir d’appréciation. Le recourant n’a par ailleurs apporté aucun élément nouveau permettant de retenir que sa présence en Suisse serait maintenant requise pour la procédure en cours. Le tribunal rappelle encore que le recourant est représenté par un avocat dans cette procédure pénale et donc que ses droits sont préservés. Par ailleurs, il pourra demander à être autorisé à revenir en Suisse en cas de nécessité. Partant, c'est à bon droit que l’OCPM a refusé l'autorisation requise fondée sur cette disposition.</w:t>
      </w:r>
    </w:p>
    <w:p>
      <w:r>
        <w:rPr>
          <w:b/>
        </w:rPr>
        <w:t>E. 13</w:t>
      </w:r>
    </w:p>
    <w:p>
      <w:r>
        <w:t>Au vu de ce qui précède, le recours sera rejeté et la décision contestée confirmée.</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- 9/10 - A/1934/2023</w:t>
      </w:r>
    </w:p>
    <w:p>
      <w:r>
        <w:rPr>
          <w:b/>
        </w:rPr>
        <w:t>E. 15</w:t>
      </w:r>
    </w:p>
    <w:p>
      <w:r>
        <w:t>En vertu des art. 89 al. 2 et 111 al. 2 de la loi sur le Tribunal fédéral du 17 juin 2005 (LTF - RS 173.110), le présent jugement sera communiqué au secrétariat d'État aux migrations.</w:t>
      </w:r>
    </w:p>
    <w:p>
      <w:r>
        <w:t>- 10/10 - A/1934/2023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