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JTAPI/1070/2024 vom 31. Oktober 2024</w:t>
      </w:r>
    </w:p>
    <w:p>
      <w:r>
        <w:t>GE Cour de justice, 2024-10-31, FR</w:t>
      </w:r>
    </w:p>
    <w:p>
      <w:r>
        <w:rPr>
          <w:b/>
        </w:rPr>
        <w:t xml:space="preserve">Quelle: </w:t>
      </w:r>
      <w:r>
        <w:t>https://mcp.opencaselaw.ch/entscheid/ge_gerichte_JTAPI_1070_2024</w:t>
      </w:r>
    </w:p>
    <w:p>
      <w:r>
        <w:t>FR: GE_GERICHTE JTAPI/1070/2024 du 31 octobre 2024</w:t>
      </w:r>
    </w:p>
    <w:p>
      <w:r>
        <w:t>IT: GE_GERICHTE JTAPI/1070/2024 del 31 ottobre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ATA/1218/2017 du 22 août 2017 consid. 3b et l'arrêt cité). La contestation ne peut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- 18/32 - A/3375/2023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6</w:t>
      </w:r>
    </w:p>
    <w:p>
      <w:r>
        <w:t>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rPr>
          <w:b/>
        </w:rPr>
        <w:t>E. 7</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ATA/583/2022 du 31 mai 2022 consid. 5b). L'exigence de la relation fixe avec le sol n'exclut pas la prise en compte de constructions mobilières, non ancrées de</w:t>
      </w:r>
    </w:p>
    <w:p>
      <w:r>
        <w:t>- 19/32 - A/3375/2023 manière durable au sol et qui sont, cas échéant, facilement démontables (cf. ATA/208/2021 du 23 février 2021 consid. 5).</w:t>
      </w:r>
    </w:p>
    <w:p>
      <w:r>
        <w:rPr>
          <w:b/>
        </w:rPr>
        <w:t>E. 8</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ainsi que modifier, même partiellement, le volume, l’architecture, la couleur, l’implantation, la distribution ou la destination d’une construction ou d’une installation (let. b). Par constructions ou installations, on entend toutes choses immobilières ou mobilières édifiées au-dessus ou au-dessous du sol ainsi que toutes leurs parties intégrantes et accessoires (art. 1 al. 1 du règlement concernant l'accessibilité des constructions et installations diverses du 29 janvier 2020 - RACI – L 5 05.06).</w:t>
      </w:r>
    </w:p>
    <w:p>
      <w:r>
        <w:rPr>
          <w:b/>
        </w:rPr>
        <w:t>E. 8.2</w:t>
      </w:r>
    </w:p>
    <w:p>
      <w:r>
        <w:t>; ATA/774/2018 du 24 juillet 2018 consid. 4 ; ATA/1059/2017 du 4 juillet 2017 et les références citées).</w:t>
      </w:r>
    </w:p>
    <w:p>
      <w:r>
        <w:rPr>
          <w:b/>
        </w:rPr>
        <w:t>E. 9</w:t>
      </w:r>
    </w:p>
    <w:p>
      <w:r>
        <w:t>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(cf. art. 16 al. 1 LAT).</w:t>
      </w:r>
    </w:p>
    <w:p>
      <w:r>
        <w:rPr>
          <w:b/>
        </w:rPr>
        <w:t>E. 10</w:t>
      </w:r>
    </w:p>
    <w:p>
      <w:r>
        <w:t>À teneur de l’art. 16a al. 1 LAT,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arrêts du Tribunal fédéral 1C_314/2009 du 12 juillet 2010 consid. 5.1 ; 1C_72/2009 du 15 décembre 2009 consid. 2.1). Une autorisation ne peut être délivrée que si la construction ou l’installation est nécessaire à l’exploitation en cause (art. 34 al. 4 let. a de l’ordonnance sur l’aménagement du territoire du 28 juin 2000 - OAT - RS 700.1).</w:t>
      </w:r>
    </w:p>
    <w:p>
      <w:r>
        <w:rPr>
          <w:b/>
        </w:rPr>
        <w:t>E. 11</w:t>
      </w:r>
    </w:p>
    <w:p>
      <w:r>
        <w:t>Les constructions et installations qui servent à l’agriculture pratiquée en tant que loisir ne sont pas réputées conformes à l’affectation de la zone agricole (art. 34 al. 5 OAT).</w:t>
      </w:r>
    </w:p>
    <w:p>
      <w:r>
        <w:rPr>
          <w:b/>
        </w:rPr>
        <w:t>E. 12</w:t>
      </w:r>
    </w:p>
    <w:p>
      <w:r>
        <w:t>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chambre administrative de la Cour de justice (ci-après : la chambre administrative) a d’ailleurs déjà eu l’occasion de préciser, s’agissant de l’installation de clôtures et de portails, que les aménagements qui vont au-delà des</w:t>
      </w:r>
    </w:p>
    <w:p>
      <w:r>
        <w:t>- 20/32 - A/3375/2023 besoins d’une exploitation agricole ne peuvent pas être considérée comme étant conforme aux art. 16a LAT et 34 OAT (ATA/1370/2018 du 18 décembre 2018).</w:t>
      </w:r>
    </w:p>
    <w:p>
      <w:r>
        <w:rPr>
          <w:b/>
        </w:rPr>
        <w:t>E. 13</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14</w:t>
      </w:r>
    </w:p>
    <w:p>
      <w:r>
        <w:t>Les conditions de dérogation pour des constructions hors de la zone à bâtir sont prévues par le droit fédéral (art. 24 à 24e LAT). Ces dispositions sont complétées ou reprises par les art. 27 ss LaLAT. Ainsi, selon l’art. 27A LaLAT, les changements d’affectation hors de la zone à bâtir ne nécessitant pas de travaux de transformation sont autorisés en application de l'art. 24a LAT et aux conditions fixées par cette disposition.</w:t>
      </w:r>
    </w:p>
    <w:p>
      <w:r>
        <w:t>Le département délivre les autorisations visant le maintien de l’habitation sans rapport avec l’agriculture ou le changement complet d’affectation de constructions ou installations dignes d’être protégées au sens et aux conditions fixées à l’art. 24d de la loi fédérale (art. 27D LaLAT).</w:t>
      </w:r>
    </w:p>
    <w:p>
      <w:r>
        <w:rPr>
          <w:b/>
        </w:rPr>
        <w:t>E. 15</w:t>
      </w:r>
    </w:p>
    <w:p>
      <w:r>
        <w:t>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 Selon la jurisprudence,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 136 II 214 consid. 2.1 et les références citées ; plus récemment arrêt 1C_231/2018 du 13 novembre 2018 consid. 2.1). Seuls des critères objectifs sont déterminants, à l'exclusion de préférences dictées par des raisons de commodité ou d'agrément (cf. ATF 136 II 214 consid. 2.1 ; 129 II 63 consid. 3.1 ; encore récemment arrêts 1C_74/2018 du 12 avril 2019 consid. 2.1 et 1C_39/2017 du 13 novembre 2017 consid. 3.1). L'examen du caractère relativement imposé par sa destination de l'emplacement implique une pesée de l'ensemble des intérêts en présence, pesée qui se recoupe avec celle imposée par l'art. 24 let. b LAT (ATF 141 II 245 consid. 7.6.2). L’application du critère de l’art. 24 let. a LAT doit toutefois être stricte, dès lors que cette disposition contribue à l’objectif de séparation du bâti et du non-bâti</w:t>
      </w:r>
    </w:p>
    <w:p>
      <w:r>
        <w:t>- 21/32 - A/3375/2023 (ATF 124 II 252 consid. 4a ; arrêt du Tribunal fédéral 1C_276/2021 du 17 mars 2022 consid. 4.1 et les références citées).</w:t>
      </w:r>
    </w:p>
    <w:p>
      <w:r>
        <w:rPr>
          <w:b/>
        </w:rPr>
        <w:t>E. 16</w:t>
      </w:r>
    </w:p>
    <w:p>
      <w:r>
        <w:t>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Cette réglementation est reprise à l’art. 27C LaLAT. Cette dérogation facilitée s’applique aux constructions ou installation qui ont été érigées conformément au droit matériel avant l’introduction, le 1er juillet 1972, de la séparation entre les parties constructibles et non constructibles du territoire (entrée en vigueur de la loi fédérale du 8 octobre 1971 sur la protection des eaux contre la pollution, abrogée depuis le 1er novembre 1992) ; ou qui ont été érigées en zone à bâtir après le 1er juillet 1972, mais qui ont par la suite été affectées à la zone de non-bâtir. À contrario, la garantie étendue de la situation acquise conférée par l’art. 24c LAT ne bénéficie pas aux constructions et installations érigées en zone de non-bâtir, au titre de constructions conformes à l’affectation de la zone, après le 1er juillet 1972, c’est-à-dire, selon « le nouveau droit » (Rudolf MUGGLI, dans : Heinz AEMISEGGER/Pierre MOOR/Alexander RUCH/Pierre TSCHANNEN [éd.], Commentaire pratique LAT : Construire hors zone à bâtir, 2017, ad art. 24c, n. 12, n. 17 et 19). L'OAT précise encore que dans le cadre de l'art. 24c LAT, une transformation est considérée comme partielle et un agrandissement est considéré comme mesuré lorsque l'identité de la construction ou de l'installation et de ses abords est respectée pour l'essentiel.</w:t>
      </w:r>
    </w:p>
    <w:p>
      <w:r>
        <w:rPr>
          <w:b/>
        </w:rPr>
        <w:t>E. 17</w:t>
      </w:r>
    </w:p>
    <w:p>
      <w:r>
        <w:t>Le principe de la séparation de l'espace bâti et non bâti, qui préserve différents intérêts publics, est de rang constitutionnel ; il fait partie intégrante de la notion d'utilisation mesurée du sol de l'art. 75 al. 1 Cst. (cf. Message du Conseil fédéral du</w:t>
      </w:r>
    </w:p>
    <w:p>
      <w:r>
        <w:rPr>
          <w:b/>
        </w:rPr>
        <w:t>E. 20</w:t>
      </w:r>
    </w:p>
    <w:p>
      <w:r>
        <w:t>Les zones de hameaux sont des zones spéciales au sens de l'art. 18 de la loi fédérale, vouées à la protection des hameaux. La délivrance d'une autorisation de construire est subordonnée à l'adoption d'un plan de site, dont la procédure se déroule en principe simultanément à celle relative à la création de cette zone de hameaux (al. 2). Sauf dispositions particulières fixées par le plan de site, les normes de la 4ème zone rurale sont applicables (al. 4).</w:t>
      </w:r>
    </w:p>
    <w:p>
      <w:r>
        <w:rPr>
          <w:b/>
        </w:rPr>
        <w:t>E. 21</w:t>
      </w:r>
    </w:p>
    <w:p>
      <w:r>
        <w:t>Selon l’art. 109 al. 1 LCI, les constructions et installations, de même que leurs abords, doivent être conçus et aménagés de manière à en permettre l’accès et l’utilisation par tous les usagers, y compris ceux qui éprouvent des difficultés à s’orienter, à se mouvoir ou à communiquer. Le règlement concernant l'accessibilité des constructions et installations diverses du 29 janvier 2020 (RACI – L 5 05.06) contient les normes applicables pour les constructions et installations, notamment en ce qui concerne les portes (art. 7) et celles pour les bâtiments comprenant des logements (art. 14 à 18).</w:t>
      </w:r>
    </w:p>
    <w:p>
      <w:r>
        <w:rPr>
          <w:b/>
        </w:rPr>
        <w:t>E. 22</w:t>
      </w:r>
    </w:p>
    <w:p>
      <w:r>
        <w:t>Le département peut refuser les autorisations prévues à l’art. 1 lorsqu’une construction ou une installation peut être la cause d’inconvénients graves pour les usagers, le voisinage ou le public (art. 14 let. a LCI), ne remplit pas les conditions de sécurité et de salubrité qu’exige son exploitation ou son utilisation (let. b), ne remplit pas des conditions de sécurité et de salubrité suffisantes à l’égard des voisins ou du public (let. c).</w:t>
      </w:r>
    </w:p>
    <w:p>
      <w:r>
        <w:rPr>
          <w:b/>
        </w:rPr>
        <w:t>E. 23</w:t>
      </w:r>
    </w:p>
    <w:p>
      <w:r>
        <w:t>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(ATA/373/2016 du 3 mai 2016 consid. 9d ; ATA/1366/2015 précité consid. 6d).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w:t>
      </w:r>
    </w:p>
    <w:p>
      <w:r>
        <w:t>- 23/32 - A/3375/2023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w:t>
      </w:r>
    </w:p>
    <w:p>
      <w:r>
        <w:rPr>
          <w:b/>
        </w:rPr>
        <w:t>E. 24</w:t>
      </w:r>
    </w:p>
    <w:p>
      <w:r>
        <w:t>Selon l’art. 82 LCI, les constructions édifiées dans la zone agricole au sens des art. 20 à 22 de la LaLAT, sont soumises à ces dispositions et à celles applicables à la 5e zone de la présente loi (al. 1). En cas d’application des art. 34 à 38 et 40 de l’OAT, le département ne peut délivrer une autorisation qu’avec l’accord, exprimé sous forme d’un préavis, de l’office cantonal de l’agriculture et de la nature; de même, sur préavis dudit office, la caducité d’une autorisation, au sens de l’art. 40 al. 5 de cette ordonnance, pourra être constatée. En zone agricole, le préavis de l’OCAN ne doit pas être minimisé car il est obligatoire (art. 82 al. 2 LCI ; ATA/664/2023 du 20 juin 2023, ATA/534/2016 du 21 juin 2016 cité in Stéphane GRODECKI/Valérie DEFAGO GAUDIN, La jurisprudence genevoise en matière d'aménagement du territoire et de droit public des constructions rendue en 2016, RDAF 2017 I p. 20 ;).</w:t>
      </w:r>
    </w:p>
    <w:p>
      <w:r>
        <w:t>Par ailleurs, la loi sur la protection des monuments, de la nature et des sites du 4 juin 1976 (LPMNS - L 4 05) institue la CMNS, composée de spécialistes en matière d’architecture, d’urbanisme et de conservation du patrimoine (cf. art. 46 al. 2 LPMNS ; ATA/1059/2017 du 4 juillet 2017 consid. 6d), qui comporte trois sous- commissions (architecture, monuments et antiquités, nature et sites) et dont la compétence est codifiée dans le règlement d’application de la loi sur la protection des monuments, de la nature et des sites du 29 mars 2023 (RPMNS - L 4 05.01) (cf. art. 3 al. 1 RPMNS). La CMNS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(art. 47 al. 1 LPMNS).</w:t>
      </w:r>
    </w:p>
    <w:p>
      <w:r>
        <w:rPr>
          <w:b/>
        </w:rPr>
        <w:t>E. 25</w:t>
      </w:r>
    </w:p>
    <w:p>
      <w:r>
        <w:t>Les actes du représentant sont opposables au représenté comme les siens propres ; ce principe vaut également en droit public (arrêt du Tribunal fédéral 2C_280/2013 du 6 avril 2013 ; ATA/159/2021 du 9 février 2021 consid. 7d ; ATA/1127/2020 du 10 novembre 2020 consid. 4c ; ATA/224/2020 du 25 février 2020 consid. 3b).</w:t>
      </w:r>
    </w:p>
    <w:p>
      <w:r>
        <w:rPr>
          <w:b/>
        </w:rPr>
        <w:t>E. 26</w:t>
      </w:r>
    </w:p>
    <w:p>
      <w:r>
        <w:t>En l’espèce, il sied de relever que selon la fiche C05 du plan directeur cantonal 2023, le hameau est classé en zone agricole et non en zone hameau, et aucun déclassement n’est intervenu depuis lors ; du reste, dans son plan directeur de 2019, approuvé par le Conseil d’Etat le 3 juin 2020, la commune a confirmé que D______ était maintenu en zone agricole. Ce sont donc les dispositions régissant la zone hors à bâtir qui s’appliquent en l’espèce et non celles de la zone hameau.</w:t>
      </w:r>
    </w:p>
    <w:p>
      <w:r>
        <w:t>- 24/32 - A/3375/2023 Par ailleurs, la requête en autorisation de construire portait tant sur la régularisation des aménagements extérieurs et des transformations intérieures et extérieures du bâtiment réalisés en violation de l’autorisation de construire initiale, que sur l’installation des nouveaux aménagements, à savoir l’installation d’un couvert à vélo et d’une barrière autour de la fosse à purin. Il convient donc de faire une analyse en deux temps, à savoir sur les motifs de refus des aménagements extérieurs d’une part, et sur les transformations intérieures et extérieures du bâtiment d’autre part, le tribunal prenant acte du fait que les recourants renoncent à la construction d’un abri à vélo et d’une barrière autour de la fosse à purin - le recours ne porte donc plus sur le refus d’autorisation de ces deux objets.</w:t>
      </w:r>
    </w:p>
    <w:p>
      <w:r>
        <w:rPr>
          <w:b/>
        </w:rPr>
        <w:t>E. 27</w:t>
      </w:r>
    </w:p>
    <w:p>
      <w:r>
        <w:t>Le département s’est fondé sur les préavis rendus par les instances spécialisées dans le cadre de l’instruction de la requête, dont trois étaient défavorables, pour rendre la décision de refus d’autorisation de constuire. L’OCAN s’est prononcé défavorablement sur le projet dans son préavis du 13 avril 2023, retenant que les aménagements réalisés sur la parcelle (objets A, B, C, D , E, F, G, H, I, J, K, N et O) et la création d’un couvert à vélo n’étaient pas conformes à la zone. Concernant l’aménagement intérieur dans le bâtiment no 4______, seul un changement d’affectation sans travaux de transformation était envisageable, les travaux réalisés n’étaient quant à eux pas conformes aux possibilités prévues par l’art. 24a LAT. L’OU a également rendu un préavis défavorable le 3 avril 2023, retenant également que les objets C, D, E, F, I, H et J et le couvert à vélo n’étaient pas conformes à la zone agricole. Concernant le bâtiment no 4______, seul un changement d’affectation sans travaux était possible. Enfin, la DAC a rendu un préavis défavorable le 16 mars 2023, notamment vu l’absence de cuisine et de salon dans l’un des appartements et la non-conformité des couloirs, des salles de bain et des chambres tant au RACI qu’à l’art. 109 LCI. C’est à juste titre que le département, se fondant sur les préavis susmentionnés, a retenu que le projet n’était pas conforme à la zone en ce qui concerne les aménagements extérieurs (objets A, B, C, E, F, G, H, I, J, K, N et O); en effet, les aménagements extérieurs ne sont manifestement pas imposés par leur destination au sens de la jurisprudence et de la doctrine relatives à l'art. 24 al. 1 let. a LAT, dès lors qu'il n'apparaît pas que des raisons objectives – techniques, économiques ou découlant de la nature du sol – justifieraient leur présence à leurs emplacements respectifs en zone agricole. Ils ont été installés par pure convenance personnelle, afin que les locataires puissent bénéficier d’un jardin avec une aire de jeux, des terrasses et des cheminements. Les recourants n’ont par ailleurs apporté aucun élément permettant de retenir que, certains d’entre eux – par exemple les objets D, E, F, H, I et J –, auraient été installés en toute légalité avant qu’ils ne deviennent propriétaire de la parcelle.</w:t>
      </w:r>
    </w:p>
    <w:p>
      <w:r>
        <w:t>- 25/32 - A/3375/2023 Concernant les modifications intérieures du bâtiment n° 3______ et de ses façades, force est tout d’abord de constater que les recourants ont réalisés deux appartements dans des configurations diamétralement opposées à celles autorisées dans l’autorisation de construire initiale ; il apparait ainsi évident que, dès le début des travaux, les recourants avaient comme projet de réaliser un appartement par étage et non deux duplex comme autorisé. Si certes ils prétendent avoir rencontrés des problèmes lors de la réalisation du projet, notamment au niveau de la structure du bâtiment ayant pour conséquence, selon leurs explications, que la configuration autorisée n’était pas réalisable – notamment, la création d’une seule fenêtre au 1er étage – ils se devaient de stopper les travaux, d’interpeller le département sur les difficultés rencontrées et de solliciter une autorisation complémentaire afin que les travaux envisagés soient dûment autorisés. En continuant les travaux non conformes à ceux autorisés, ils ont mis le département devant le fait accompli, sans même avoir, de leur propre chef, une fois les travaux terminés, déposé une requête en autorisation de construire afin de régulariser la situation puisque ladite demande de régularisation n’est intervenue qu’après le contrôle effectué par le département sur leur parcelle en avril 2022. A la lecture des plans, il apparait notamment que l’appartement du rez-de-chaussée n’a ni cuisine ni salon, et le couloir menant aux chambres a une largeur, à certains endroits, de 87 cm seulement – alors que selon l’art. 14 al. 2 RACI, la largeur minimale peut être, à certaines conditions, de 1 m. Quant à l’appartement du 1er étage, aucune mensuration n’est indiquée sur le plans mais il apparait notamment que les portes ont une largeur d’environ 70 cm – alors que selon l’art. 7 al. 1 RACI, la largeur minimale est de 80 cm. Enfin, vu la configuration très particulière des appartements et, à plusieurs endroits, l’absence totale de cotes sur les plans, il est très vraisemblable que la typologie des logements n’est pas conforme aux dispositions relatives aux personnes à mobilité réduite, comme l’a retenu la DAC. Concernant l’absence d’une cuisine et d’un salon selon les plans dans l’un des appartements, les recourants font valoir, dans leurs écritures du 17 novembre 2023 que les chambres pouvaient être mises à la location pour des étudiants ou des ouvriers agricoles dans le cadre d’une colocation avec un degré de confort moindre ; l’art. 14 LCI n’imposait du reste pas la présence d’une cuisine dans les logements. Sur ce point, le tribunal ne peut pas les suivre et ne peut que confirmer la positon du département, l’existence d’une cuisine étant indispensable pour vivre dignement dans un logement mais également pour des raisons claires de sécurité ; il relèvera par ailleurs la mauvaise foi crasse des recourants sur ce point puisqu’ils ont dans la réalité créé dès le début une cuisine et un salon dans l’« atelier/dépôt » tout en omettant de le mentionner dans leurs plans soumis au département dans le cadre de la régulation – reconnaissant même lors du transport sur place que leur architecte leur avait dit qu’une fois l’autorisation obtenue, il pourraient faire ce qu’ils voudraient dans l’atelier-dépôt. Ils n’ont dès lors jamais eu l’intention de louer des chambres à des ouvriers ou des étudiants sans cuisine et, de plus, l’appartement était</w:t>
      </w:r>
    </w:p>
    <w:p>
      <w:r>
        <w:t>- 26/32 - A/3375/2023 déjà loué à une famille avec enfants au moment du dépôt de la requête en autorisation complémentaire. Quant aux façades, la CMNS, dans son préavis favorable sous conditions du 19 janvier 2021, rendu dans le cadre de l’autorisation de base, avait demandé que, concernant le choix des matériaux, les détails d’exécution et les teintes soient transmises au service des monuments et des sites (ci-après : SMS) avant la commande des travaux. Par ailleurs, la CMNS avait clairement demandé que le bardage soit remplacé par un bardage aux dimensions identiques à l’existant (préavis favorable du 17 novembre 2020). Il apparait que les recourants n’ont jamais soumis au SMS le choix des matériaux. Dans son préavis défavorable du 23 mars 2023, rendu dans le cadre de la DD 6______/3, la CMNS a clairement relevé le total manque de respect du projet autorisé, soit les modifications dans les ouvertures en façade, le bardage en bois qui ne correspondait pas au projet initial et la menuiserie extérieure en aluminium au lieu du bois ; si l’autorisation en force avait été accordée sur un projet réfléchi qui prenait en considération la valeur patrimoniale de l’objet et l’intégration dans le site villageois protégé, le non-respect des conditions de l’autorisation et des réserves d’exécution de la part du propriétaire/mandataire avaient amené à un résultat inacceptable compte tenu de la valeur patrimoniale de l’objet et du site. Au vu ce de ce qui précède, et notamment de l’ampleur des différences entre ce qui avait été autorisés et les travaux réellement réalisés, le tribunal estime que le département n’a pas abusé de son pouvoir d’appréciation en refusant de délivrer l’autorisation de construire complémentaire visant à la régularisation des très nombreux travaux réalisés en dans le plus total non-respect de l’autorisation de base, se fondant sur trois préavis défavorables émis par trois instances spécialisées dont le poids, comme déjà indiqué, est important. Le refus d’autorisation de construire sera dès lors confirmé et le recours rejeté sur ce point.</w:t>
      </w:r>
    </w:p>
    <w:p>
      <w:r>
        <w:rPr>
          <w:b/>
        </w:rPr>
        <w:t>E. 28</w:t>
      </w:r>
    </w:p>
    <w:p>
      <w:r>
        <w:t>Les recourants estiment que l’ordre de remise en état est contraire au principe de la proportionnalité, que leur intérêt privé à permettre le maintien des aménagements est prépondérant à l’intérêt public à la remise en état et que certains éléments existent depuis d’innombrables années.</w:t>
      </w:r>
    </w:p>
    <w:p>
      <w:r>
        <w:rPr>
          <w:b/>
        </w:rPr>
        <w:t>E. 29</w:t>
      </w:r>
    </w:p>
    <w:p>
      <w:r>
        <w:t>Selon l’art. 129 let. e LCI, dans les limites des dispositions de l’art. 130 LCI, le département peut ordonner, à l’égard des constructions, des installations ou d’autres choses, la remise en état. L’art. 130 LCI dispose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propriétaires doivent se conformer aux mesures ordonnées par le département en application des art. 129 et 130 LCI (art. 131 LCI).</w:t>
      </w:r>
    </w:p>
    <w:p>
      <w:r>
        <w:rPr>
          <w:b/>
        </w:rPr>
        <w:t>E. 30</w:t>
      </w:r>
    </w:p>
    <w:p>
      <w:r>
        <w:t>De jurisprudence constante, pour être valable, un ordre de mise en conformité doit respecter cinq conditions. Premièrement, il doit être dirigé contre le perturbateur.</w:t>
      </w:r>
    </w:p>
    <w:p>
      <w:r>
        <w:t>- 27/32 - A/3375/2023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(ATA/225/ 2023 du 7 mars 2023 consid. 3b).</w:t>
      </w:r>
    </w:p>
    <w:p>
      <w:r>
        <w:rPr>
          <w:b/>
        </w:rPr>
        <w:t>E. 31</w:t>
      </w:r>
    </w:p>
    <w:p>
      <w:r>
        <w:t>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 122 II 65 consid. 6a ; ATA/1334/2019 du 3 septembre 2019 consid. 2c ; ATA/70/2018 du 23 janvier 2018 consid. 7d et les arrêts cités). Le perturbateur par situation correspond avant tout au propriétaire, le critère déterminant étant le pouvoir de disposition, qui permet à celui qui le détient de maintenir la chose dans un état conforme à la réglementation en vigueur (cf. ATA/1334/2019 du 3 septembre 2019 consid. 2c et les arrêts cités).</w:t>
      </w:r>
    </w:p>
    <w:p>
      <w:r>
        <w:rPr>
          <w:b/>
        </w:rPr>
        <w:t>E. 32</w:t>
      </w:r>
    </w:p>
    <w:p>
      <w:r>
        <w:t>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rPr>
          <w:b/>
        </w:rPr>
        <w:t>E. 33</w:t>
      </w:r>
    </w:p>
    <w:p>
      <w:r>
        <w:t>La dernière des cinq conditions auxquelles est soumis un ordre de remise en état concerne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w:t>
      </w:r>
    </w:p>
    <w:p>
      <w:r>
        <w:t>- 28/32 - A/3375/2023 des divers intérêts publics et privés en présence (ATA/1399/2019 du 17 septembre 2019 consid. 3c et l’arrêt cité ; ATA/336/2011 du 24 mai 2011 consid. 3b).</w:t>
      </w:r>
    </w:p>
    <w:p>
      <w:r>
        <w:rPr>
          <w:b/>
        </w:rPr>
        <w:t>E. 34</w:t>
      </w:r>
    </w:p>
    <w:p>
      <w:r>
        <w:t>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 celle-ci se préoccupe plus de rétablir une situation conforme au droit que d'éviter les inconvénients qui en découlent pour lui (ATF 123 II 248 consid. 4a et les références ; arrêts du Tribunal fédéral 1C_114/2018 du 21 juin 2019 consid. 5.1.2 ; 1C_237/2018 du 29 janvier 2019 consid. 2.3 ; 1C_418/2016 du 28 février 2017 consid. 5.1 ; 1C_29/2016 du 18 janvier 2017 consid. 7.1 ; 1C_122/2016 du 7 septembre 2016 consid. 6.1).</w:t>
      </w:r>
    </w:p>
    <w:p>
      <w:r>
        <w:rPr>
          <w:b/>
        </w:rPr>
        <w:t>E. 35</w:t>
      </w:r>
    </w:p>
    <w:p>
      <w:r>
        <w:t>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 544/2014 du 1er avril 2015 consid. 4.2), si celui-ci pouvait de bonne foi se croire autorisé à construire ou encore s’il y a des chances sérieuses de faire reconnaître la construction comme conforme au droit (cf.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 2014 du 1er avril 2015 consid. 4.2).</w:t>
      </w:r>
    </w:p>
    <w:p>
      <w:r>
        <w:rPr>
          <w:b/>
        </w:rPr>
        <w:t>E. 36</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w:t>
      </w:r>
    </w:p>
    <w:p>
      <w:r>
        <w:t>- 29/32 - A/3375/2023 entreprise sur le site litigieux » (arrêt du Tribunal fédéral 1C_446/2010 du 18 avril 2011, consid. 5.1.1 et les références citées ; ATA/68/2013 du 6 février 2013).</w:t>
      </w:r>
    </w:p>
    <w:p>
      <w:r>
        <w:rPr>
          <w:b/>
        </w:rPr>
        <w:t>E. 37</w:t>
      </w:r>
    </w:p>
    <w:p>
      <w:r>
        <w:t>Le postulat selon lequel le respect du principe de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op. cit., p. 218).</w:t>
      </w:r>
    </w:p>
    <w:p>
      <w:r>
        <w:rPr>
          <w:b/>
        </w:rPr>
        <w:t>E. 38</w:t>
      </w:r>
    </w:p>
    <w:p>
      <w:r>
        <w:t>En l'occurrence, propriétaires des parcelles nos 1______ et 2______ sur lesquelles tous les travaux litigieux ont été réalisés, les recourants sont les perturbateurs. Les constructions querellées n'ont pas été autorisées en vertu du droit en vigueur au moment de leur réalisation - aucun élément du dossier ne permet de retenir notamment que certains aménagements extérieurs auraient été érigés légalement, comme le prétendent les recourants - et le département a refusé la régularisation de ceux pour lesquels une telle demande avait été faite, par décision du ______ 2023 DD 6______/3). Par ailleurs, il ne peut être retenu que l’administration aurait créé chez les recourants, par des promesses, des informations, des assurances ou un comportement, des conditions telles qu’elle serait liée par la bonne foi, ce que les recourants eux-mêmes ne font pas valoir. Enfin, la question de la prescription trentenaire ne se pose pas en l’espèce puisqu’elle ne s’applique pas hors de la zone à bâtir et que les parcelles en cause se situent en zone agricole.</w:t>
      </w:r>
    </w:p>
    <w:p>
      <w:r>
        <w:rPr>
          <w:b/>
        </w:rPr>
        <w:t>E. 39</w:t>
      </w:r>
    </w:p>
    <w:p>
      <w:r>
        <w:t>Reste à trancher la question du respect du principe de proportionnalité. Il sied de rappeler que l’autorisation initiale DD 6______ du ______ 2021 a été octroyée pour la réalisation de deux appartements en duplex, le remplacement du bardage par des lames aux dimensions identiques à l’existant, la création de trois fenêtres de dimensions 80x50 cm environ et la création d’un accès de plein pied à l’atelier avec l’aménagement d’une mezzanine et, enfin, d’un couvert – sans toutefois que cela ressorte expressément des plans produits, lesquels mentionnent ledit couvert en noir, soit comme existant et non en rouge comme nouvelle construction. Dans le cadre de l’instruction de la requête, la CMNS s’était prononcée à quatre reprises et avait rendu un préavis favorable sous condition le 19 janvier 2021 – préavis faisant partie intégrante de l’autorisation –, précisant notamment que le choix des matériaux, les détails d’exécution et les teintes devaient être transmis au SMS avant la commande de travaux. Cette autorisation ne portait par contre ni sur des aménagements extérieurs, ni sur la réalisation d’un garage en sous-sol avec la création d’une porte d’accès, ni sur l’aménagement de l’« atelier- dépôt » en cuisine-salon. La demande d’autorisation DD 6______/3 du ______ 2023 portait sur l’aménagement d’un couvert à vélo et l’installation d’un garde-corps autour de la</w:t>
      </w:r>
    </w:p>
    <w:p>
      <w:r>
        <w:t>- 30/32 - A/3375/2023 fosse à purin, ainsi que sur la régularisation des travaux réalisés sans droit, soit la création d’un garage avec une porte d’accès et la création d’un escalier intérieur, la création d’un appartement de plein pied sans cuisine – certains plans indiquant « atelier-cuisine » sans toutefois prévoir de liaison entre l’appartement de plein- pied et l’« atelier/dépôt » –, la suppression de la porte permettant l’accès à l’atelier- dépôt depuis l’extérieur et la création de trois fenêtres en lieu et place d’une seule, la création d’un appartement au premier étage, avec modification des fenêtres, la surélévation du couvert (objet M) et la régularisation des objets A, B, C, D, E, F, H, I, J, K, L, N et P. Toutefois, les plans produits à l’appui de cette demande d’autorisation ne correspondaient déjà pas sur de nombreux points à ce qui avait déjà été réalisée. Cette autorisation a été refusée par le département le ______ 2023. Vu l’ampleur des irrégularités commises par les recourants dans ce dossier, le tribunal estime que l’analyse du respect du principe de proportionnalité doit se faire dans sa globalité et non objet par objet. Il constate ainsi que 14 installations/constructions ont été réalisées sur la parcelle (objets A, B, C, D, E, F, H, I, J, K, L, N, O et P), dont certaines d’ampleur, telles que la réfection de la terrasse objet H dont les murets, la pente et le revêtement ont été modifiés ou l’installation d’une aire de jeux de plusieurs m2 avec réalisation d’un sol recouvert sur 15 cm de copeaux de bois entouré de planches. La parcelle est ainsi devenue un jardin d’agrément entièrement aménagé. Concernant l’intérieur du bâtiment, aucuns des plans autorisés dans la DD 6______ n’a été respecté puisque, d’une part, les deux logements ont été créés sur un niveau et non plus deux, que l’« atelier-dépôt » a dès le début été aménagé en cuisine-salon, alors qu’il ne bénéficiait pas d’un changement d’affectation et ne pouvait être utilisé comme habitation, qu’un garage a été aménagé en sous-sol avec un accès extérieur et que les ouvertures prévues ont toutes été réalisées à d’autres endroits que ceux prévus. Il sied de rappeler que si les recourants s’étaient trouvés confrontés à des difficultés d’ordre technique pour réaliser les appartements tels qu’autorisés, il leur appartenait d’interpeler le département mais aucunement de modifier de leur propre chef l’aménagement global des logements, comme le tribunal l’a déjà relevé. Quant à l’aspect extérieur du bâtiment, la CMNS avait fait une analyse minutieuse du dossier – rendant pas moins de quatre préavis dans le cadre de l’autorisation de base – avant de se positionner précisément tant sur le remplacement du bardage que sur la création des vitres dans son dernier préavis favorable ; avant toute intervention sur les façades, elle avait demandé à être consultée, exigence reprise dans la décision d’autorisation. D’une part, les recourants n’ont pas soumis les teintes et matériaux avant exécution à la CMNS mais, bien plus, ils ont installé notamment des lames de bois d’une largeur différente de celle autorisée. A nouveau, s’il s’était véritablement avéré que des lames de bois pour le bardage de 30 cm n’étaient techniquement pas réalisables selon l’entreprise en charge des travaux, les recourants se devaient d’interpeler le département avant de procéder au remplacement dudit bardage avec des lames de largeur inférieure. Ils ont créé une</w:t>
      </w:r>
    </w:p>
    <w:p>
      <w:r>
        <w:t>- 31/32 - A/3375/2023 porte de garage dans l’une des façades du bâtiment sans qu’aucune instance ne se prononce, notamment la CMNS, alors que le bâtiment se situe, faut-il le rappeler dans le plan de site. Ils ont enfin créé des ouvertures en façade différentes que celles autorisées, modifiant de ce fait l’aspect extérieur du bâtiment. Pour terminer, le couvert objet M a été réalisé avec une hauteur supérieure à celle autorisée du fait, selon les dires des recourants, d’erreur de calcul. Au vu de ce qui précède, bien que le tribunal se rendre compte de l’ampleur de la remise en état qui est ordonnée et du coût que cela impliquera, il estime que le département n’a pas abusé de son pouvoir d’appréciation en demandant la remise en état de tous les éléments réalisés en violation de l’autorisation de base et refusés dans le cadre de l’autorisation complémentaire, et que le principe de proportionnalité est respecté. Les recourants ont adopté un comportement totalement irrespectueux et désinvolte face aux décisions prises par l’autorité qui ne peut en aucun cas être toléré. De plus, comme la jurisprudence l’a rappelé, celui qui place l'autorité devant un fait accompli doit s'attendre à ce que celle-ci se préoccupe plus de rétablir une situation conforme au droit. Le tribunal relèvera cependant que les recourants restent bien entendu libres de réaliser les appartements et les aménagements en conformité de l’autorisation en force.</w:t>
      </w:r>
    </w:p>
    <w:p>
      <w:r>
        <w:rPr>
          <w:b/>
        </w:rPr>
        <w:t>E. 40</w:t>
      </w:r>
    </w:p>
    <w:p>
      <w:r>
        <w:t>En tous points mal fondé, le recours sera rejeté et les décisions confirmées.</w:t>
      </w:r>
    </w:p>
    <w:p>
      <w:r>
        <w:rPr>
          <w:b/>
        </w:rPr>
        <w:t>E. 41</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2’500.- ; il est partiellement couvert par l’avance de frais versée à la suite du dépôt du recours.</w:t>
      </w:r>
    </w:p>
    <w:p>
      <w:r>
        <w:t>- 32/32 - A/3375/2023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