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JTAPI/1068/2025 vom 15. Dezember 2000</w:t>
      </w:r>
    </w:p>
    <w:p>
      <w:r>
        <w:t>GE Cour de justice, 2000-12-15, FR</w:t>
      </w:r>
    </w:p>
    <w:p>
      <w:r>
        <w:rPr>
          <w:b/>
        </w:rPr>
        <w:t xml:space="preserve">Quelle: </w:t>
      </w:r>
      <w:r>
        <w:t>https://mcp.opencaselaw.ch/entscheid/ge_gerichte_JTAPI_1068_2025</w:t>
      </w:r>
    </w:p>
    <w:p>
      <w:r>
        <w:t>FR: GE_GERICHTE JTAPI/1068/2025 du 15 décembre 2000</w:t>
      </w:r>
    </w:p>
    <w:p>
      <w:r>
        <w:t>IT: GE_GERICHTE JTAPI/1068/2025 del 15 dicembre 2000</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26 septembre 2025,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6</w:t>
      </w:r>
    </w:p>
    <w:p>
      <w:r>
        <w:t>Selon l'art. 76 al. 1 let. b ch. 1 LEI, renvoyant à l’art. 75 al. 1 LEI, après notification d'une décision de première instance de renvoi ou d'une décision de première</w:t>
      </w:r>
    </w:p>
    <w:p>
      <w:r>
        <w:t>- 12/16 - A/3339/2025 instance d'expulsion au sens des art. 66a ou 66abis du Code pénal suisse du 21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7</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18 mois (cf. not. arrêt du Tribunal fédéral 2C_560/2021 du 3 août 2021 consid. 8.1).</w:t>
      </w:r>
    </w:p>
    <w:p>
      <w:r>
        <w:rPr>
          <w:b/>
        </w:rPr>
        <w:t>E. 9</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11</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w:t>
      </w:r>
    </w:p>
    <w:p>
      <w:r>
        <w:t>- 13/16 - A/3339/2025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w:t>
      </w:r>
    </w:p>
    <w:p>
      <w:r>
        <w:rPr>
          <w:b/>
        </w:rPr>
        <w:t>E. 12</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13</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État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w:t>
      </w:r>
    </w:p>
    <w:p>
      <w:r>
        <w:t>- 14/16 - A/3339/2025 2C_635/2020 précité consid. 6.1;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 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SEM (cf. arrêt 2C_597/2020 précité consid. 4.1 et les nombreux arrêts cités).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14</w:t>
      </w:r>
    </w:p>
    <w:p>
      <w:r>
        <w:t>En l'espèce, les circonstances qui ont conduit le tribunal, dans ses jugements des 13 mai, 2 juillet et 5 août 2025, et la chambre administrative dans son arrêt du 24 juillet 2025 à retenir que les conditions de la détention de M. A______ étaient remplies quant à son principe sont toujours d’actualité, ce que M. A______ ne conteste pas. Le fait que, dans le cadre de la demande de reconsidération de la décision de non- report de l’expulsion judiciaire déposée par M. A______ le 9 septembre 2025, l’OCPM ait, sur mesures provisionnelles, suspendu l’exécution de l’expulsion judicaire n’y change rien. M. A______ indique être érythréen et non éthiopien et que son renvoi serait impossible. Le tribunal rappellera que l’intéressé a été reconnu par les autorités éthiopiennes comme étant un de leurs ressortissants et que ces dernières ont délivré un laissez- passer afin que son renvoi puisse être effectué à destination de l’Éthiopie. Contrairement à ce qu’il a déclaré lors de l’audience du 13 mai 2025, M. A______ n’a entrepris aucune démarche auprès des autorités érythréennes afin d’obtenir des documents d’identité. Il a précisé, lors de l’audience du 8 octobre 2025, qu’il n’allait jamais entamer de démarches en ce sens car il ne voulait pas signer une déclaration de repentir, document obligatoire, selon les informations en sa possession dans le cadre de telles démarches. N’ayant ainsi pas amené de nouveaux éléments concernant sa nationalité érythréenne, le tribunal ne peut que renvoyer au développement tenu par la chambre administrative dans son arrêt du 24 juillet 2025, laquelle avait conclu que le tribunal avait procédé à une appréciation correcte des preuves pertinentes en retenant que le recourant était d’origine éthiopienne et que son renvoi ne contrevenait pas à l’art 83 al. 2 LEI (ATA/808/2025 consid. 4.4 et 6.6). Il n’apparaît pas impossible au sens de l’art. 80 al. 6 let. a LEI.</w:t>
      </w:r>
    </w:p>
    <w:p>
      <w:r>
        <w:t>- 15/16 - A/3339/2025 L'assurance du départ effectif de M. A______ répond toujours à un intérêt public certain et, vu son refus maintes fois répété de retourner en Éthiopie, aucune autre mesure moins incisive ne peut être envisagée pour garantir sa présence jusqu'à l'exécution de son refoulement. Par ailleurs, l’OCPM poursuit les démarches nécessaires afin de concrétiser le renvoi de M. A______, ayant sollicité le SEM pour des informations complémentaires tant de nature politique que médicale, lesquelles n’ont pas encore été toutes transmises. Il est par ailleurs en possession d’un laissez-passer valable encore plus d’un mois en faveur de l’intéressé et a indiqué que ce dernier sera inscrit sur le prochain vol spécial si le non-report de l’expulsion judicaire était confirmé. S’agissant de l’état de santé de M. A______ et en particulier de la poursuite de ses traitements médicamenteux en Ethiopie, il sera rappelé qu’au moment où le renvoi pourra être concrétisé, il sera envisageable que M. A______ parte avec une réserve de médicaments. Il pourra, par ailleurs, durant sa détention, continuer à bénéficier des soins prodigués par le service médical de son lieu de détention. Enfin, les informations qui seront transmises par le secteur médical du SEM permettront d’avoir une meilleure vision de la situation.</w:t>
      </w:r>
    </w:p>
    <w:p>
      <w:r>
        <w:rPr>
          <w:b/>
        </w:rPr>
        <w:t>E. 15</w:t>
      </w:r>
    </w:p>
    <w:p>
      <w:r>
        <w:t>En ce qui concerne la durée de la demande de prolongation de quatre mois, sollicitée par l'OCPM, elle parait disproportionnée du fait que la situation de M. A______ risque de se modifier prochainement dès lors que l’OCPM doit statuer sur la demande de reconsidération de la décision de non-report de son expulsion judiciaire : cette décision pourrait avoir une influence sur la suite de la détention de l’intéressé. Une prolongation de la détention de six semaines parait dès lors plus adéquate - étant souligné que la durée totale de 18 mois que peut atteindre une détention administrative selon l'art. 79 al. 1 et 2 LEI ne sera pas atteinte.</w:t>
      </w:r>
    </w:p>
    <w:p>
      <w:r>
        <w:rPr>
          <w:b/>
        </w:rPr>
        <w:t>E. 16</w:t>
      </w:r>
    </w:p>
    <w:p>
      <w:r>
        <w:t>Au vu de ce qui précède, la demande de prolongation de la détention administrative de M. A______ sera admise pour une durée de six semaines, soit jusqu'au</w:t>
      </w:r>
    </w:p>
    <w:p>
      <w:r>
        <w:rPr>
          <w:b/>
        </w:rPr>
        <w:t>E. 19</w:t>
      </w:r>
    </w:p>
    <w:p>
      <w:r>
        <w:t>novembre 2025. 17. Vu l’issue du litige, aucune indemnité de procédure ne sera allouée. 18.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- 16/16 - A/3339/2025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