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JTAPI/1066/2024 vom 31. Oktober 2024</w:t>
      </w:r>
    </w:p>
    <w:p>
      <w:r>
        <w:t>GE Cour de justice, 2024-10-31, FR</w:t>
      </w:r>
    </w:p>
    <w:p>
      <w:r>
        <w:rPr>
          <w:b/>
        </w:rPr>
        <w:t xml:space="preserve">Quelle: </w:t>
      </w:r>
      <w:r>
        <w:t>https://mcp.opencaselaw.ch/entscheid/ge_gerichte_JTAPI_1066_2024</w:t>
      </w:r>
    </w:p>
    <w:p>
      <w:r>
        <w:t>FR: GE_GERICHTE JTAPI/1066/2024 du 31 octobre 2024</w:t>
      </w:r>
    </w:p>
    <w:p>
      <w:r>
        <w:t>IT: GE_GERICHTE JTAPI/1066/2024 del 31 ottobre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2.1</w:t>
      </w:r>
    </w:p>
    <w:p>
      <w:r>
        <w:t>; 1C_202/2018 du 18 septembre 2018 consid. 3.1 ; 1C_184/2018 du 26 juillet 2018 consid. 2.2).</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5.3</w:t>
      </w:r>
    </w:p>
    <w:p>
      <w:r>
        <w:t>; 130 II 425 consid. 2.1 ; arrêts du Tribunal fédéral 2C_668/2020 du 22 janvier 2021 consid. 3.3 ; 2C_339/2020 du 5 janvier 2021 consid. 4.2.2 ; ATA/672/2021 du 29 juin 2021 consid. 3b) ni celui d'obtenir l'audition de témoins (ATF 130 II 425 consid. 2.1 ; arrêts du Tribunal fédéral 2C_725/2019 du 12 septembre 2019 consid. 4.1 ; 2C_1004/2018 du 11 juin 2019 consid. 5.2.1 ; 2C_1125/2018 du 7 janvier 2019 consid. 5.1 ; ATA/672/2021 du 29 juin 2021 consid. 3b).</w:t>
      </w:r>
    </w:p>
    <w:p>
      <w:r>
        <w:rPr>
          <w:b/>
        </w:rPr>
        <w:t>E. 6</w:t>
      </w:r>
    </w:p>
    <w:p>
      <w:r>
        <w:t>Le recourant conclut préalablement à la production de son dossier ainsi qu'à sa comparution personnelle.</w:t>
      </w:r>
    </w:p>
    <w:p>
      <w:r>
        <w:rPr>
          <w:b/>
        </w:rPr>
        <w:t>E. 7</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w:t>
      </w:r>
    </w:p>
    <w:p>
      <w:r>
        <w:t>- 7/16 - A/360/2024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w:t>
      </w:r>
    </w:p>
    <w:p>
      <w:r>
        <w:rPr>
          <w:b/>
        </w:rPr>
        <w:t>E. 8</w:t>
      </w:r>
    </w:p>
    <w:p>
      <w:r>
        <w:t>Par ailleurs, le droit d'être entendu ne comprend pas celui d'être entendu oralement (cf. not. art. 41 in fine LPA ; ATF 140 I 68 consid. 9.6.1 ; 134 I 140 consid.</w:t>
      </w:r>
    </w:p>
    <w:p>
      <w:r>
        <w:rPr>
          <w:b/>
        </w:rPr>
        <w:t>E. 9</w:t>
      </w:r>
    </w:p>
    <w:p>
      <w:r>
        <w:t>En l’espèce, l'OCV a produit le dossier du recourant à l'appui de ses observations du 18 mars 2024, le tribunal constate donc qu'il a été donné suite à la requête de ce dernier. S'agissant de sa comparution personnelle, il a pu développer son argumentation dans son recours et produire les pièces justificatives qu’il estimait utiles. Le tribunal considère ainsi disposer des éléments suffisants et nécessaires pour statuer immédiatement sur le litige. Cet acte d'instruction, en soi non obligatoire, ne se révélant pas nécessaire, il n’y sera pas donné suite.</w:t>
      </w:r>
    </w:p>
    <w:p>
      <w:r>
        <w:rPr>
          <w:b/>
        </w:rPr>
        <w:t>E. 10</w:t>
      </w:r>
    </w:p>
    <w:p>
      <w:r>
        <w:t>Dans un deuxième grief, le recourant soutient qu'il n'a pas eu l'occasion de faire valoir son droit d'être entendu durant la procédure administrative et la procédure pénale ayant donné lieu à l'ordonnance pénale du 6 janvier 2023, faute de ne pas avoir eu connaissance de cette dernière et du courrier de l'OCV du 14 novembre 2023.</w:t>
      </w:r>
    </w:p>
    <w:p>
      <w:r>
        <w:rPr>
          <w:b/>
        </w:rPr>
        <w:t>E. 11</w:t>
      </w:r>
    </w:p>
    <w:p>
      <w:r>
        <w:t>La notification d’un acte soumis à réception, comme une décision ou une communication de procédure, est réputée faite au moment où l’envoi entre dans la sphère de pouvoir de son destinataire (Pierre MOOR/Étienne POLTIER, Droit administratif, vol. II, 3e éd., 2011, n. 2.2.8.3 p. 302 s). Il suffit que celui-ci puisse en prendre connaissance (ATF 137 III 308 consid. 3.1.2 ; 118 II 42 consid. 3b).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w:t>
      </w:r>
    </w:p>
    <w:p>
      <w:r>
        <w:t>- 8/16 - A/360/2024 telle communication (ATF 130 III 396 consid. 1.2.3 ; arrêt du Tribunal fédéral 1C_549/2009 du 1er mars 2010 consid. 3.2.1 et les références citées). Un envoi est réputé notifié à la date à laquelle son destinataire le reçoit effectivement (ATA/378/2014 précité consid. 3b).</w:t>
      </w:r>
    </w:p>
    <w:p>
      <w:r>
        <w:rPr>
          <w:b/>
        </w:rPr>
        <w:t>E. 12</w:t>
      </w:r>
    </w:p>
    <w:p>
      <w:r>
        <w:t>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ATA 130 III 396 consid. 1.2.3).</w:t>
      </w:r>
    </w:p>
    <w:p>
      <w:r>
        <w:rPr>
          <w:b/>
        </w:rPr>
        <w:t>E. 13</w:t>
      </w:r>
    </w:p>
    <w:p>
      <w:r>
        <w:t>Cette fiction de notification n'est cependant applicable que lorsque la communication d'un acte officiel doit être attendue avec une certaine vraisemblance, ce qui est le cas lorsque l'intéressé est partie à une procédure pendante (ATF 139 IV 228 consid. 1.1 p. 230).</w:t>
      </w:r>
    </w:p>
    <w:p>
      <w:r>
        <w:rPr>
          <w:b/>
        </w:rPr>
        <w:t>E. 14</w:t>
      </w:r>
    </w:p>
    <w:p>
      <w:r>
        <w:t>D’une manière générale, l’administré, lorsqu’il doit s’attendre à recevoir une décision, doit prendre des dispositions pour faire en sorte d’être atteint. Tel n’est pas le cas de celui qui, dans cette situation, part en vacances sans prendre de dispositions pour avertir l’autorité de son absence, ou pour faire réceptionner son courrier de façon à être averti de l’arrivée, pendant cette période, d’une décision le concernant. Dans ce sens, un ordre de retenue du courrier à la poste n’est pas suffisant, dans la mesure où, malgré cela, à l’échéance du délai de dépôt de l’avis de pli recommandé, la décision est malgré tout considérée comme notifiée à l’échéance du délai de sept jours (ATF 134 V 49 consid. 4). C’est seulement en l’absence d’un empêchement non fautif du destinataire de la décision que la notification de celle-ci ne déploie pas ses effets ou que ceux-ci sont reportés (ATA/1032/2023 précité consid. 2.2.2).</w:t>
      </w:r>
    </w:p>
    <w:p>
      <w:r>
        <w:rPr>
          <w:b/>
        </w:rPr>
        <w:t>E. 15</w:t>
      </w:r>
    </w:p>
    <w:p>
      <w:r>
        <w:t>En l’occurrence, la décision entreprise, qui fait l’objet du présent recours et qui définit le cadre du litige (ATA/85/2022 du 1er février 2022 consid. 3a ; ATA/376/ 2016 du 3 mai 2016 consid. 2b et les références citées), se détermine sur le retrait du permis de conduire du recourant et non sur la procédure pénale, qui ne relève pas de son domaine de compétence, mais de celui des autorités pénales. C'est dès lors auprès de ces dernières que le recourant aurait dû contester la validité de la notification de l'ordonnance pénale du 6 janvier 2023, ce qu'il n'allègue ni ne démontre avoir fait. S'agissant du fait que le recourant n'aurait pas pu exercer son droit d'être entendu dans le délai d'un mois imparti par l'OCV le 14 novembre 2023 car il se serait trouvé à l'étranger durant ce laps de temps, le tribunal retiendra que selon les réservations des billets d'avions produits, il se serait certes rendu à Dubai le 15 novembre 2023 au départ de Genève, mais il aurait pris un vol de retour le 21 novembre 2023 déjà. Se trouvant manifestement à Genève durant la période concernée, il pouvait dès lors</w:t>
      </w:r>
    </w:p>
    <w:p>
      <w:r>
        <w:t>- 9/16 - A/360/2024 parfaitement exercer son droit d'être entendu dans les délais. En tout état, se sachant faire l'objet d'une procédure administrative, suspendue à sa demande jusqu'à droit jugé au pénal, il lui appartenait d'informer l'OCV non seulement de l'avancée de la procédure pénale, mais également de ses séjours à l'étranger ou de prendre les dispositions nécessaires pour être atteint, ce qu'il n'a manifestement pas fait. Partant, ce grief sera rejeté.</w:t>
      </w:r>
    </w:p>
    <w:p>
      <w:r>
        <w:rPr>
          <w:b/>
        </w:rPr>
        <w:t>E. 16</w:t>
      </w:r>
    </w:p>
    <w:p>
      <w:r>
        <w:t>Le recourant se prévaut également d'une motivation insuffisante de la décision entreprise.</w:t>
      </w:r>
    </w:p>
    <w:p>
      <w:r>
        <w:rPr>
          <w:b/>
        </w:rPr>
        <w:t>E. 17</w:t>
      </w:r>
    </w:p>
    <w:p>
      <w:r>
        <w:t>Le droit d'être entendu implique, pour l'autorité, l'obligation de motiver sa décision (cf. art. 46 al. 1 LPA). Selon la jurisprudence, il suffit que celle-ci mentionne, au moins brièvement, les motifs qui l'ont guidée et sur lesquels elle a fondé sa décision, de manière à ce que son destinataire puisse se rendre compte de la portée de celle- ci et l'attaquer en connaissance de cause. L'autorité n'a pas l'obligation d'exposer et de discuter tous les faits, moyens de preuve et griefs invoqués par les parties ; elle peut au contraire se limiter à ceux qui lui paraissent pertinents.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(cf. arrêt du Tribunal fédéral 1C_415/2019 du 27 mars 2020 consid.</w:t>
      </w:r>
    </w:p>
    <w:p>
      <w:r>
        <w:rPr>
          <w:b/>
        </w:rPr>
        <w:t>E. 18</w:t>
      </w:r>
    </w:p>
    <w:p>
      <w:r>
        <w:t>Une réparation devant l'instance de recours est possible si celle-ci jouit du même pouvoir d'examen que l'autorité intimée (ATF 137 I 195 consid. 2.3.2 ; 133 I 201 consid. 2.2 ; arrêts du Tribunal fédéral 1C_572/2011 du 3 avril 2012 consid.</w:t>
      </w:r>
    </w:p>
    <w:p>
      <w:r>
        <w:rPr>
          <w:b/>
        </w:rPr>
        <w:t>E. 19</w:t>
      </w:r>
    </w:p>
    <w:p>
      <w:r>
        <w:t>En l’espèce, le tribunal considère que la motivation de la décision du 11 décembre 2023 doit être considérée comme suffisante puisqu’elle permet clairement de comprendre pour quels motifs le permis de conduire a été retirée au recourant et qu'elle se prononce expressément sur la mise en danger et les fautes retenues. Par ailleurs et conformément à la jurisprudence susvisée, l'OCV n'avait aucune obligation de mentionner le contenu des explications orales du recourant. Du reste, ce dernier a parfaitement été en mesure de développer son argumentation dans le cadre de son recours et de sa réplique, démontrant de la sorte qu'il avait parfaitement compris ce qui lui était reproché. Une violation de son droit d’être entendu ne sera dès lors pas retenue.</w:t>
      </w:r>
    </w:p>
    <w:p>
      <w:r>
        <w:t>- 10/16 - A/360/2024</w:t>
      </w:r>
    </w:p>
    <w:p>
      <w:r>
        <w:rPr>
          <w:b/>
        </w:rPr>
        <w:t>E. 20</w:t>
      </w:r>
    </w:p>
    <w:p>
      <w:r>
        <w:t>Le recourant se plaint également d'une violation du principe de la bonne foi.</w:t>
      </w:r>
    </w:p>
    <w:p>
      <w:r>
        <w:rPr>
          <w:b/>
        </w:rPr>
        <w:t>E. 21</w:t>
      </w:r>
    </w:p>
    <w:p>
      <w:r>
        <w:t>Valant pour l’ensemble de l’activité étatique, le principe de la bonne foi, exprimé aux art. 9 et 5 al. 3 Cst., exige quant à lui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II 361 consid. 7.1; arrêt du Tribunal fédéral 1C_534/2009 du 2 juin 2010 consid. 2.2 ; ATA/19/2016 du 12 janvier 2016 consid. 7b).</w:t>
      </w:r>
    </w:p>
    <w:p>
      <w:r>
        <w:rPr>
          <w:b/>
        </w:rPr>
        <w:t>E. 22</w:t>
      </w:r>
    </w:p>
    <w:p>
      <w:r>
        <w:t>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w:t>
      </w:r>
    </w:p>
    <w:p>
      <w:r>
        <w:rPr>
          <w:b/>
        </w:rPr>
        <w:t>E. 23</w:t>
      </w:r>
    </w:p>
    <w:p>
      <w:r>
        <w:t>Le droit à la protection de la bonne foi peut également être invoqué en présence simplement d'un comportement de l'administration, notamment en cas de silence de l'autorité dans une situation de fait contraire au droit, susceptible d'éveiller chez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w:t>
      </w:r>
    </w:p>
    <w:p>
      <w:r>
        <w:rPr>
          <w:b/>
        </w:rPr>
        <w:t>E. 24</w:t>
      </w:r>
    </w:p>
    <w:p>
      <w:r>
        <w:t>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w:t>
      </w:r>
    </w:p>
    <w:p>
      <w:r>
        <w:rPr>
          <w:b/>
        </w:rPr>
        <w:t>E. 25</w:t>
      </w:r>
    </w:p>
    <w:p>
      <w:r>
        <w:t>En l'espèce, le recourant allègue, sans toutefois le démontrer, que l'agent l'ayant sanctionné en 2018 lui avait affirmé qu'il n'y aurait aucune conséquence à ses actes et qu'un collaborateur du service juridique de l'OCV lui avait assuré qu'il se verrait tout au plus infliger un avertissement, promesse qui l'avait conduit à renoncer à poursuivre ses démarches auprès de la police. Or, aucun élément au dossier ne permet de retenir que l’autorité intimée aurait créé chez le recourant, par des</w:t>
      </w:r>
    </w:p>
    <w:p>
      <w:r>
        <w:t>- 11/16 - A/360/2024 promesses, des informations ou des assurances, des conditions telles qu’elle serait liée par la bonne foi. Si les art. 9 et 5 al. 3 Cst. exige que l’administration se comporte de manière loyale, ce comportement est également attendu des administrés (ATF 129 II 361 consid. 7.1; arrêt du Tribunal fédéral 1C_534/2009 du 2 juin 2010 consid. 2.2 ; ATA/19/2016 du 12 janvier 2016 consid. 7b). Or, in casu, il apparaît peu vraisemblable qu'un agent de police indique à une personne qu'elle appréhende qu'il n'y aurait aucune conséquence et qu'un collaborateur du service juridique de l'OCV s'engage sur le prononcé d'une décision administrative en cours d'instruction. En tout état, le recourant n'en apporte pas la moindre preuve. Ce grief sera ainsi écarté.</w:t>
      </w:r>
    </w:p>
    <w:p>
      <w:r>
        <w:rPr>
          <w:b/>
        </w:rPr>
        <w:t>E. 26</w:t>
      </w:r>
    </w:p>
    <w:p>
      <w:r>
        <w:t>Le recourant se plaint d'une violation des art. 16a et 16b LCR.</w:t>
      </w:r>
    </w:p>
    <w:p>
      <w:r>
        <w:rPr>
          <w:b/>
        </w:rPr>
        <w:t>E. 27</w:t>
      </w:r>
    </w:p>
    <w:p>
      <w:r>
        <w:t>Selon l'art. 16 LCR,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(al. 1). Lorsque la procédure prévue par la loi sur les amendes d’ordre du 24 juin 1970 (LAO - RS 741.03) n’est pas applicable, une infraction aux prescriptions sur la circulation routière entraîne le retrait du permis d’élève-conducteur ou du permis de conduire ou un avertissement (art. 16 al. 2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(al. 3).</w:t>
      </w:r>
    </w:p>
    <w:p>
      <w:r>
        <w:rPr>
          <w:b/>
        </w:rPr>
        <w:t>E. 28</w:t>
      </w:r>
    </w:p>
    <w:p>
      <w:r>
        <w:t>Aux termes de l'art. 26 al. 1 LCR, chacun doit se comporter dans la circulation de manière à ne pas gêner ni mettre en danger ceux qui utilisent la route conformément aux règles établies.</w:t>
      </w:r>
    </w:p>
    <w:p>
      <w:r>
        <w:rPr>
          <w:b/>
        </w:rPr>
        <w:t>E. 29</w:t>
      </w:r>
    </w:p>
    <w:p>
      <w:r>
        <w:t>Selon l'art. 31 al. 1 LCR, le conducteur doit rester constamment maître de son véhicule, de façon à pouvoir se conformer aux devoirs de prudence. Cela signifie qu'il doit être à tout moment en mesure de réagir utilement aux circonstances. En présence d'un danger, et dans toutes les situations exigeant une décision rapide, il devra réagir avec sang-froid et sans excéder le temps de réaction compatible avec les circonstances.</w:t>
      </w:r>
    </w:p>
    <w:p>
      <w:r>
        <w:rPr>
          <w:b/>
        </w:rPr>
        <w:t>E. 30</w:t>
      </w:r>
    </w:p>
    <w:p>
      <w:r>
        <w:t>En vertu de l'art. 33 LCR, le conducteur facilitera aux piétons la traversée de la chaussée. Avant les passages pour piétons, le conducteur circulera avec une prudence particulière et, au besoin, s’arrêtera pour laisser la priorité aux piétons qui se trouvent déjà sur le passage ou s’y engagent.</w:t>
      </w:r>
    </w:p>
    <w:p>
      <w:r>
        <w:rPr>
          <w:b/>
        </w:rPr>
        <w:t>E. 31</w:t>
      </w:r>
    </w:p>
    <w:p>
      <w:r>
        <w:t>L'art. 3 al. 1 OCR précise que le conducteur vouera son attention à la route et à la circulation ; il évitera toute occupation qui rendrait plus difficile la conduite du véhicule ; il veillera en outre à ce que son attention ne soit distraite, notamment, ni</w:t>
      </w:r>
    </w:p>
    <w:p>
      <w:r>
        <w:t>- 12/16 - A/360/2024 par un appareil reproducteur de son ni par un quelconque système d'information ou de communication. Le degré de l'attention requise par l'art. 3 al. 1 OCR s'apprécie au regard des circonstances d'espèce, telles que la densité du trafic, la configuration des lieux, l'heure, la visibilité et les sources de danger prévisibles (ATF 137 IV 290 consid. 3.6 et les références citées ; arrêts du Tribunal fédéral 1C_512/2017 du 28 février 2018 consid. 3.2 ; 6B_69/2017 du 28 novembre 2017 consid. 2.2.1). L’attention requise du conducteur implique qu’il soit en mesure de parer rapidement aux dangers qui menacent la vie, l’intégrité corporelle ou les biens matériels d’autrui.</w:t>
      </w:r>
    </w:p>
    <w:p>
      <w:r>
        <w:rPr>
          <w:b/>
        </w:rPr>
        <w:t>E. 32</w:t>
      </w:r>
    </w:p>
    <w:p>
      <w:r>
        <w:t>En l'occurrence, il ressort de l’ordonnance pénale du 7 octobre 2022, en force, que l’infraction d’inattention a été retenue à l’encontre du recourant pour les faits du 26 juillet 2022. Référence était faite aux art. 31 LCR (maitrise du véhicule) et 3 de l’ordonnance sur les règles de la circulation routière du 13 novembre 1962 (OCR - RS 741.11 ; conduite du véhicule) qui stipulent notamment que le conducteur devra rester constamment maître de son véhicule de façon à pouvoir se conformer aux devoirs de la prudence, respectivement vouer son attention à la route et à la circulation. Il lui appartenait, s’il l'estimait nécessaire, de se renseigner à ce sujet puis, cas échéant, de recourir à l’encontre de l’ordonnance pénale. Ne l’ayant pas fait, il ne saurait aujourd’hui remettre en cause cette dernière, pas plus que les éléments retenus dans le rapport de contravention. Il en va de même s'agissant de l’ordonnance pénale du 6 janvier 2023, en force. Dans celle-ci, une priorité non accordée à un piéton engagé sur un passage piéton, avec mise en danger ainsi que l'utilisation d'un téléphone sans dispositif "mains libres" ont été retenues pour les faits du 25 août 2022. Référence était faite aux art. 26, 30 al. 1, 33, 90 LCR et 3 al. 1 et 6 OCR qui stipulent notamment que chacun doit se comporter, dans la circulation, de manière à ne pas gêner ni mettre en danger ceux qui utilisent la route, respectivement, que le conducteur facilitera aux piétons la traversée de la chaussée et, qu'avant les passages pour piétons, il circulera avec une prudence particulière et, au besoin, s’arrêtera pour laisser la priorité aux piétons qui se trouvent déjà sur le passage.</w:t>
      </w:r>
    </w:p>
    <w:p>
      <w:r>
        <w:rPr>
          <w:b/>
        </w:rPr>
        <w:t>E. 33</w:t>
      </w:r>
    </w:p>
    <w:p>
      <w:r>
        <w:t>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arrêts du Tribunal fédéral 1C_470/2019 du 31 janvier</w:t>
      </w:r>
    </w:p>
    <w:p>
      <w:r>
        <w:t>- 13/16 - A/360/2024 2020 consid. 5.1.2 ; 1C_611/2018 du 18 avril 2019 consid. 2.2 ; 1C_202/2018 du 18 septembre 2018 consid. 2.2 ; 1C_30/2017 du 21 avril 2017 consid. 2.1).</w:t>
      </w:r>
    </w:p>
    <w:p>
      <w:r>
        <w:rPr>
          <w:b/>
        </w:rPr>
        <w:t>E. 34</w:t>
      </w:r>
    </w:p>
    <w:p>
      <w:r>
        <w:t>Cela vaut non seulement lorsque le jugement pénal a été rendu au terme d'une procédure publique ordinaire au cours de laquelle les parties ont été entendues et des témoins interrogés, mais également lorsque la décision a été rendue à l'issue d'une procédure sommaire, même si la décision pénale se fonde uniquement sur le rapport de police (ATF 123 II 97 consid. 3c/aa ; arrêts du Tribunal fédéral 1C_470/2019 du 31 janvier 2020 consid. 5.1.2 ; 1C_611/2018 du 18 avril 2019 consid. 2.2 ; 1C_631/2014 du 20 mars 2015 consid. 2.1). Il en va notamment ainsi lorsque la personne impliquée savait ou aurait dû prévoir, en raison de la gravité des faits qui lui sont reprochés, qu'il y aurait également une procédure de retrait de permis. Dans cette situation, elle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 arrêts du Tribunal fédéral 1C_470/2019 du 31 janvier 2020 consid. 5.1.2 ; 1C_611/2018 du 18 avril 2019 consid. 3.2.2 ; 1C_202/2018 du 18 septembre 2018 consid. 2.2 et 2.3 ; 1C_30/2017 du 21 avril 2017 consid. 2.1 ; 1C_631/2014 du 20 mars 2015 consid. 2.1 ; 1C_245/2010 du 13 juillet 2010 consid. 2.1 ; cf. aussi ATA/622/2016 du 19 juillet 2016 consid. 5b).</w:t>
      </w:r>
    </w:p>
    <w:p>
      <w:r>
        <w:rPr>
          <w:b/>
        </w:rPr>
        <w:t>E. 35</w:t>
      </w:r>
    </w:p>
    <w:p>
      <w:r>
        <w:t>Tout en rappelant que l’autorité administrative n’est pas liée par le jugement pénal pour les questions de droit, en particulier pour l’appréciation de la faute, le Tribunal fédéral a précisé que malgré son indépendance, l’autorité administrative se doit d’éviter le plus possible des décisions contradictoires, ce qui requiert qu’elle se rattache à l’appréciation du juge pénal si celle-ci est soutenable, même si elle-même aurait apprécié la faute différemment (arrêt du Tribunal fédéral 1C_424/2012 du 15 janvier 2015).</w:t>
      </w:r>
    </w:p>
    <w:p>
      <w:r>
        <w:rPr>
          <w:b/>
        </w:rPr>
        <w:t>E. 36</w:t>
      </w:r>
    </w:p>
    <w:p>
      <w:r>
        <w:t>En l'occurrence et comme on l'a vu supra, le recourant a définitivement été reconnu coupable par les autorités pénales. La réalisation des conditions des infractions qui lui sont également reprochées par l'OCV a donc été constatée, de sorte qu'il n'y a pas lieu d'y revenir.</w:t>
      </w:r>
    </w:p>
    <w:p>
      <w:r>
        <w:rPr>
          <w:b/>
        </w:rPr>
        <w:t>E. 37</w:t>
      </w:r>
    </w:p>
    <w:p>
      <w:r>
        <w:t>Reste toutefois à examiner la gravité des faits reprochés au recourant, dès lors que celui-ci prétend que sa faute serait bénigne.</w:t>
      </w:r>
    </w:p>
    <w:p>
      <w:r>
        <w:rPr>
          <w:b/>
        </w:rPr>
        <w:t>E. 38</w:t>
      </w:r>
    </w:p>
    <w:p>
      <w:r>
        <w:t>La LCR distingue les infractions légères, moyennement graves et graves (art. 16a à 16c LCR).</w:t>
      </w:r>
    </w:p>
    <w:p>
      <w:r>
        <w:rPr>
          <w:b/>
        </w:rPr>
        <w:t>E. 39</w:t>
      </w:r>
    </w:p>
    <w:p>
      <w:r>
        <w:t>Selon l’art. 16a al. 1 let. a LCR, commet une infraction légère la personne qui, en violant les règles de la circulation, met légèrement en danger la sécurité d’autrui alors que seule une faute bénigne peut lui être imputée.</w:t>
      </w:r>
    </w:p>
    <w:p>
      <w:r>
        <w:rPr>
          <w:b/>
        </w:rPr>
        <w:t>E. 40</w:t>
      </w:r>
    </w:p>
    <w:p>
      <w:r>
        <w:t>À teneur de l'art. 16b al. 1 let. a LCR, commet une infraction moyennement grave la personne qui, en violant les règles de la circulation, crée un danger pour la sécurité d'autrui ou en prend le risque. Après une infraction moyennement grave, le</w:t>
      </w:r>
    </w:p>
    <w:p>
      <w:r>
        <w:t>- 14/16 - A/360/2024 permis d’élève conducteur ou le permis de conduire est retiré pour un mois au minimum (art. 16b al. 2 let. a LCR).</w:t>
      </w:r>
    </w:p>
    <w:p>
      <w:r>
        <w:rPr>
          <w:b/>
        </w:rPr>
        <w:t>E. 41</w:t>
      </w:r>
    </w:p>
    <w:p>
      <w:r>
        <w:t>Une infraction moyennement grave est donnée lorsque la faute du conducteur, soit la mise en danger qu’elle a induite, soit encore l’une et l’autre ne peuvent être qualifiées de légères, sans pour autant être les deux graves (ATF 136 II 447 consid 3.2).</w:t>
      </w:r>
    </w:p>
    <w:p>
      <w:r>
        <w:rPr>
          <w:b/>
        </w:rPr>
        <w:t>E. 42</w:t>
      </w:r>
    </w:p>
    <w:p>
      <w:r>
        <w:t>Le législateur conçoit l'art. 16b al. 1 let. a LCR comme l'élément dit de regroupement. Cette disposition n'est ainsi pas applicable aux infractions qui tombent sous le coup des art. 16a al. 1 let. a et 16c al. 1 let. a LCR. Dès lors, l'infraction est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 135 II 138 consid. 2.2.2 ; arrêts du Tribunal fédéral 1C_436/2019 du 30 septembre 2019 consid. 2.1 ; 1C_144/2018 du 10 décembre 2018 consid. 2.1 1C_54/2018 du 3 octobre 2018 consid. 2.1). Ainsi, par rapport à une infraction légère, où tant la mise en danger que la faute doivent être légères, on parle d'infraction moyennement grave dès que la mise en danger ou la faute n'est pas légère (arrêts du Tribunal fédéral 1C_436/2019 du 30 septembre 2019 consid.</w:t>
      </w:r>
    </w:p>
    <w:p>
      <w:r>
        <w:rPr>
          <w:b/>
        </w:rPr>
        <w:t>E. 43</w:t>
      </w:r>
    </w:p>
    <w:p>
      <w:r>
        <w:t>Une faute moyennement grave au sens de l'art. 16b al. 1 let. a LCR correspond, lorsqu'aucune circonstance particulière n'exige une prudence très élevée (cf. arrêt 1C_525/2012 du 24 octobre 2013 consid. 2.4), à une absence de prise en considération des risques d'accident, alors que ceux-ci étaient reconnaissables pour un conducteur moyen normalement prudent (cf. ATF 126 II 192 consid. 2b) et vouant toute attention à la chaussée au sens de l'art. 3 al. 1 OCR ; BUSSY/RUSCONI/JEANNERET/KUHN/MIZEL/MÜLLER, code suisse de la circulation routière commenté, 2015, n° 1.4 ad art. 16b LCR).</w:t>
      </w:r>
    </w:p>
    <w:p>
      <w:r>
        <w:rPr>
          <w:b/>
        </w:rPr>
        <w:t>E. 44</w:t>
      </w:r>
    </w:p>
    <w:p>
      <w:r>
        <w:t>En l'espèce, le recourant s'est, le 25 août 2022, engagé sur un passage piéton alors qu'une usagère s'y trouvait, au milieu de la chaussée. Il aurait dû s'arrêter et la laisser passer jusqu'à ce que qu'elle atteigne le trottoir. Ce faisant, il a frôlé la piétonne qui a dû cesser sa marche afin d'éviter d'être percutée par le recourant. Ce dernier a mal apprécié la situation et mal évalué les conséquences de son acte, qui auraient pu être graves, soit de renverser une passante sur la chaussée et lui causer des lésions voire pire et ce, alors qu'une attention particulière et une prudence accrue étaient attendues de lui. Il s'agit d'une mise en danger concrète qui ne peut être qualifiée de bénigne. C'est donc à juste titre que l'OCV l'a qualifiée de moyennement grave au sens de l'art. 16b al. 1 let. a LCR dans la décision querellée et a, en conséquence, retiré le permis de conduire du recourant pour la durée minimale légale d'un mois (art. 16a al. 2 let. a LCR).</w:t>
      </w:r>
    </w:p>
    <w:p>
      <w:r>
        <w:t>- 15/16 - A/360/2024</w:t>
      </w:r>
    </w:p>
    <w:p>
      <w:r>
        <w:rPr>
          <w:b/>
        </w:rPr>
        <w:t>E. 45</w:t>
      </w:r>
    </w:p>
    <w:p>
      <w:r>
        <w:t>C'est donc sans violer la loi, sans excès ni abus de son pouvoir d'appréciation que l'autorité a prononcé la mesure litigieuse à l'encontre du recourant, nonobstant les conséquences professionnelles et personnelles que pourraient avoir la perte de son permis de conduire, étant rappelé qu'elle ne pouvait pas s'écarter du minimum légal prévu. En effet, l'OCV est lié par cette durée, qui constitue le minimum légal incompressible devant sanctionner l'infraction en cause.</w:t>
      </w:r>
    </w:p>
    <w:p>
      <w:r>
        <w:rPr>
          <w:b/>
        </w:rPr>
        <w:t>E. 46</w:t>
      </w:r>
    </w:p>
    <w:p>
      <w:r>
        <w:t>Mal fondé, le recours sera rejeté et la décision entreprise confirmée.</w:t>
      </w:r>
    </w:p>
    <w:p>
      <w:r>
        <w:rPr>
          <w:b/>
        </w:rPr>
        <w:t>E. 47</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w:t>
      </w:r>
    </w:p>
    <w:p>
      <w:r>
        <w:rPr>
          <w:b/>
        </w:rPr>
        <w:t>E. 48</w:t>
      </w:r>
    </w:p>
    <w:p>
      <w:r>
        <w:t>Vu l’issue du litige, aucune indemnité de procédure ne sera allouée (art. 87 al. 2 LPA).</w:t>
      </w:r>
    </w:p>
    <w:p>
      <w:r>
        <w:t>- 16/16 - A/360/2024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