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JTAPI/1065/2024 vom 30. Oktober 2024</w:t>
      </w:r>
    </w:p>
    <w:p>
      <w:r>
        <w:t>GE Cour de justice, 2024-10-30, FR</w:t>
      </w:r>
    </w:p>
    <w:p>
      <w:r>
        <w:rPr>
          <w:b/>
        </w:rPr>
        <w:t xml:space="preserve">Quelle: </w:t>
      </w:r>
      <w:r>
        <w:t>https://mcp.opencaselaw.ch/entscheid/ge_gerichte_JTAPI_1065_2024</w:t>
      </w:r>
    </w:p>
    <w:p>
      <w:r>
        <w:t>FR: GE_GERICHTE JTAPI/1065/2024 du 30 octobre 2024</w:t>
      </w:r>
    </w:p>
    <w:p>
      <w:r>
        <w:t>IT: GE_GERICHTE JTAPI/1065/2024 del 30 ottobre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26 octobre 2024 à 15h30, comme l’indique le procès-verbal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t>- 5/10 - A/3557/2024</w:t>
      </w:r>
    </w:p>
    <w:p>
      <w:r>
        <w:rPr>
          <w:b/>
        </w:rPr>
        <w:t>E. 5</w:t>
      </w:r>
    </w:p>
    <w:p>
      <w:r>
        <w:t>En l’espèce, tout porte à croire que le renvoi pourra avoir lieu dans le délai de huit jours précité, puisqu’un vol a d’ores et déjà été réservé pour un départ de l’intéressé à destination l’Albanie, son pays d’origine, le 1er novembre 2024 à 9h35.</w:t>
      </w:r>
    </w:p>
    <w:p>
      <w:r>
        <w:rPr>
          <w:b/>
        </w:rPr>
        <w:t>E. 6</w:t>
      </w:r>
    </w:p>
    <w:p>
      <w:r>
        <w:t>Par ailleurs, M. A______ a donné par écrit son consentement à ce que le tribunal statue sur son sort sans l’entendre oralement.</w:t>
      </w:r>
    </w:p>
    <w:p>
      <w:r>
        <w:rPr>
          <w:b/>
        </w:rPr>
        <w:t>E. 7</w:t>
      </w:r>
    </w:p>
    <w:p>
      <w:r>
        <w:t>Le tribunal se prononce donc sur la base du dossier du commissaire de police et après avoir donné la possibilité à M. A______, sous la plume de son conseil, de déposer des observations écrites.</w:t>
      </w:r>
    </w:p>
    <w:p>
      <w:r>
        <w:rPr>
          <w:b/>
        </w:rPr>
        <w:t>E. 8</w:t>
      </w:r>
    </w:p>
    <w:p>
      <w:r>
        <w:t>Le tribunal peut confirmer, réformer ou annuler la décision du commissaire de police ; le cas échéant, il ordonne la mise en liberté de l’étranger (art. 9 al. 3 LaLEtr).</w:t>
      </w:r>
    </w:p>
    <w:p>
      <w:r>
        <w:rPr>
          <w:b/>
        </w:rPr>
        <w:t>E. 9</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10</w:t>
      </w:r>
    </w:p>
    <w:p>
      <w:r>
        <w:t>Selon l'art. 76 al. 1 let. b ch. 1 LEI (cum art. 75 al. 1 let. g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menace sérieusement d'autre personnes ou met gravement en danger leur vie ou leur intégrité corporelle et fait l'objet d'une poursuite pénale ou a été condamnée pour ce motif.</w:t>
      </w:r>
    </w:p>
    <w:p>
      <w:r>
        <w:rPr>
          <w:b/>
        </w:rPr>
        <w:t>E. 11</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12</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w:t>
      </w:r>
    </w:p>
    <w:p>
      <w:r>
        <w:t>- 6/10 - A/3557/2024 consid. 3.1 ; ATA/740/2015 du 16 juillet 2015 ; ATA/943/2014 du 28 novembre 2014 ; ATA/616/2014 du 7 août 2014).</w:t>
      </w:r>
    </w:p>
    <w:p>
      <w:r>
        <w:rPr>
          <w:b/>
        </w:rPr>
        <w:t>E. 13</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14</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15</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16</w:t>
      </w:r>
    </w:p>
    <w:p>
      <w:r>
        <w:t>Comme toute mesure étatique, la détention administrative en matière de droit des étrangers doit respecter le principe de la proportionnalité, garanti par l'art. 36 Cst., se composant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t>- 7/10 - A/3557/2024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17</w:t>
      </w:r>
    </w:p>
    <w:p>
      <w:r>
        <w:t>Selon l’art. 76 al. 1 let. b LEtr, lorsqu'une décision de renvoi ou d'expulsion a été notifiée, l'autorité compétente peut, afin d'en assurer l'exécution, placer la personne concernée en détention administrative, notamment si celle-ci menace sérieusement d'autres personnes ou met gravement en danger leur vie ou leur intégrité corporelle et fait l'objet d'une poursuite pénale ou a été condamnée pour ce motif (ch. 1 renvoyant à l'art. 75 al. 1 let. g LEtr).</w:t>
      </w:r>
    </w:p>
    <w:p>
      <w:r>
        <w:rPr>
          <w:b/>
        </w:rPr>
        <w:t>E. 18</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19</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Il ne peut pas être conclu sans autre à l'application de l'art. 75 al. 1 let. g LEtr (arrêt du Tribunal fédéral 2C_293/2012 précité). « En présence d'un petit dealer qui n'a été condamné qu'une fois pour un trafic d'une faible quantité de stupéfiants (même de drogues dures), il convient d'examiner l'ensemble des circonstances, afin de former un pronostic sur le risque de réitération. Ce n'est qu'en présence d'indices concrets en ce sens que l'on peut retenir pour l'avenir une grave mise en danger de la vie ou de l'intégrité d'autres personnes, ce qui est la condition à une mise en détention en phase préparatoire au sens de l'art. 75 al. 1 let. g LEtr ».</w:t>
      </w:r>
    </w:p>
    <w:p>
      <w:r>
        <w:rPr>
          <w:b/>
        </w:rPr>
        <w:t>E. 20</w:t>
      </w:r>
    </w:p>
    <w:p>
      <w:r>
        <w:t>En l'occurrence, l’intéressé fait l'objet d'une décision de renvoi de Suisse exécutoire prononcée le 26 octobre 2024. A cela s’ajoute qu’il a été poursuivi et condamné pénalement le même jour pour infraction à l'art. 19 al. 1 let. c LStup. Même si elle ne repose pas sur l'alinéa 2 de la disposition précitée et qu'elle n'est pas définitive, cette condamnation a trait à un acte relevant du trafic d'héroïne. Compte tenu du fait que l'intéressé est démuni de toutes ressources financières et que suite à son arrivée dans la région pour chercher du travail, il a accepté de participer à ce trafic, on peut aisément admettre qu'il n'a pas agi (ou du moins n'avait pas l'intention d'agir) "que de manière isolée" et qu'il aurait sans aucun doute poursuivi cette activité s'il n'avait pas été interpellé par la police. Ces circonstances démontrent</w:t>
      </w:r>
    </w:p>
    <w:p>
      <w:r>
        <w:t>- 8/10 - A/3557/2024 l'existence d'un risque sérieux qu'il pourrait continuer à vendre des stupéfiants s'il était remis en liberté, de sorte que sa détention administrative est justifiée sur la base des art. 76 al. 1 let. b ch. 1 et 75 al. 1 let. g LEtr. Au demeurant, les prétendus versements de la sœur de l’intéressé pour subvenir aux besoins de ce dernier ne sont étayés par aucune pièce, et n’apparaissent dès lors pas probants.</w:t>
      </w:r>
    </w:p>
    <w:p>
      <w:r>
        <w:rPr>
          <w:b/>
        </w:rPr>
        <w:t>E. 21</w:t>
      </w:r>
    </w:p>
    <w:p>
      <w:r>
        <w:t>Contrairement à ce que soutient l’intéressé, il n’appartient pas au tribunal de céans de prendre position sur les motifs ayant présidé à la clôture de l’instruction du Ministère public par ordonnance pénale du 26 octobre 2024 dont on ne saurait inférer une absence de risque de réitération.</w:t>
      </w:r>
    </w:p>
    <w:p>
      <w:r>
        <w:rPr>
          <w:b/>
        </w:rPr>
        <w:t>E. 22</w:t>
      </w:r>
    </w:p>
    <w:p>
      <w:r>
        <w:t>L’assurance de son départ de Suisse répond par ailleurs à un intérêt public certain et toute autre mesure moins incisive que la détention administrative serait vaine pour assurer sa présence au moment où l’intéressé devra monter dans l’avion devant le reconduire dans son pays d’origine, sa simple déclaration de volonté de retour dans son pays à brève échéance n’étant pas suffisante pour éviter un risque de fuite, d’autant qu’il est revenu en Suisse après s’être déjà fait refouler en 2016.</w:t>
      </w:r>
    </w:p>
    <w:p>
      <w:r>
        <w:rPr>
          <w:b/>
        </w:rPr>
        <w:t>E. 23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24</w:t>
      </w:r>
    </w:p>
    <w:p>
      <w:r>
        <w:t>En l'espèce, l'autorité chargée du renvoi a agi avec diligence et célérité, dès lors qu'elle a immédiatement procédé à la réservation d'une place sur un vol de ligne pour permettre le renvoi de M. A______ dans son pays d'origine, lequel pourra avoir lieu le 1er novembre 2024 déjà.</w:t>
      </w:r>
    </w:p>
    <w:p>
      <w:r>
        <w:rPr>
          <w:b/>
        </w:rPr>
        <w:t>E. 25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26</w:t>
      </w:r>
    </w:p>
    <w:p>
      <w:r>
        <w:t>En l'espèce, eu égard à l'ensemble des circonstances, il y a lieu de confirmer l'ordre de mise en détention administrative pour une durée de quatre semaines, qui respecte en soi l'art. 79 LEI, et n'apparaît pas disproportionné, compte tenu des imprévus pouvant intervenir que ce soit du point de vue de la logistique du transport, ou de l’aptitude au vol de l’intéressé, indépendamment de sa volonté initiale d’y procéder.</w:t>
      </w:r>
    </w:p>
    <w:p>
      <w:r>
        <w:t>- 9/10 - A/3557/2024 Sa portée s'avère au demeurant très relative car si l’intéressé monte dans l'avion devant le reconduire dans son pays le 1er novembre 2024, sa détention prendra immédiatement fin. En revanche, si, pour une raison ou une autre (par exemple en cas d'annulation du vol), son expulsion ne pouvait avoir lieu à cette occasion, la police doit pouvoir disposer du temps nécessaire pour l'organiser par un autre vol, une durée de détention de deux semaines n’apparaissant pas suffisante à cet égard.</w:t>
      </w:r>
    </w:p>
    <w:p>
      <w:r>
        <w:rPr>
          <w:b/>
        </w:rPr>
        <w:t>E. 27</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3 novembre 2024 au plus tard, si l'exécution du renvoi s'est concrétisée ou non.</w:t>
      </w:r>
    </w:p>
    <w:p>
      <w:r>
        <w:rPr>
          <w:b/>
        </w:rPr>
        <w:t>E. 28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A/3557/2024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