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JTAPI/1064/2022 vom 18. Februar 2022</w:t>
      </w:r>
    </w:p>
    <w:p>
      <w:r>
        <w:t>GE Cour de justice, 2022-02-18, FR</w:t>
      </w:r>
    </w:p>
    <w:p>
      <w:r>
        <w:rPr>
          <w:b/>
        </w:rPr>
        <w:t xml:space="preserve">Quelle: </w:t>
      </w:r>
      <w:r>
        <w:t>https://mcp.opencaselaw.ch/entscheid/ge_gerichte_JTAPI_1064_2022</w:t>
      </w:r>
    </w:p>
    <w:p>
      <w:r>
        <w:t>FR: GE_GERICHTE JTAPI/1064/2022 du 18 février 2022</w:t>
      </w:r>
    </w:p>
    <w:p>
      <w:r>
        <w:t>IT: GE_GERICHTE JTAPI/1064/2022 del 18 febbraio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t>- 7/21 - A/940/2022</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recourante 1 fait valoir que la décision litigieuse violerait le droit au respect de sa vie privée, au sens de l'art. 8 § 1 de la Convention de sauvegarde des droits de l’homme et des libertés fondamentales du 4 novembre 1950 (CEDH - RS 0.101), compte tenu de l'impact inacceptable que son renvoi de Suisse aurait sur l'existence qu'elle a commencé à construire en Suisse. Pour les mêmes raisons, cette décision violerait également les dispositions légales relatives au cas individuel d'extrême gravité. La violation des mêmes dispositions légales toucherait également la situation de la recourante 2, compte tenu de ses efforts d'intégration.</w:t>
      </w:r>
    </w:p>
    <w:p>
      <w:r>
        <w:rPr>
          <w:b/>
        </w:rPr>
        <w:t>E. 3.1</w:t>
      </w:r>
    </w:p>
    <w:p>
      <w:r>
        <w:t>; ATA/434/2020 précité consid. 10a). Dans un arrêt de principe (ATF 123 II 125), le Tribunal fédéral a mentionné plusieurs exemples de cas de rigueur en lien avec des adolescents.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L______ du 17 juillet 1995 consid. 5). Le Tribunal fédéral a précisé dans ce cas qu'il fallait que la scolarité ait revêtu une certaine durée, ait atteint un certain niveau et se soit soldée par un résultat positif (ATF 123 II 125 précité consid. 4b). Le Tribunal fédéral a admis l'exemption des mesures de limitation d'une famille dont les parents étaient remarquablement bien intégrés ; venu en Suisse à 12 ans, le fils aîné de 16 ans avait, après des difficultés initiales, surmonté les obstacles linguistiques, s'était bien adapté au système scolaire suisse et avait achevé la neuvième primaire ; arrivée en Suisse à 8 ans, la fille cadette de 12 ans s'était ajustée pour le mieux au système scolaire suisse et n'aurait pu se réadapter que difficilement à la vie quotidienne scolaire de son pays d'origine (arrêt non publié M______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N______ du 21 novembre 1995 consid. 5b ; arrêt non publié O______ du 31 mars 1994 consid. 2, admettant un cas de rigueur pour une jeune femme de près de 21 ans, entrée en Suisse à 15 ans). Dans le cas d'une famille avec deux enfants dont l'aîné était âgé de 13 ans, le Tribunal fédéral a en revanche estimé que l'âge de l'aîné et l'avancement relatif de son parcours scolaire étaient des éléments de nature à compliquer sa réintégration dans son pays d'origine mais qu'ils n'étaient pas suffisants, à eux seuls, pour faire obstacle au renvoi de la famille. Il était établi que l'enfant parlait parfaitement l'espagnol et qu'il n'avait pas encore terminé sa scolarité obligatoire ; la poursuite de celle-ci dans son pays d'origine devrait donc pouvoir se faire dans des conditions satisfaisantes. À cet égard, il a considéré que sa situation n'était pas comparable à celle d'un jeune qui aurait entrepris des études ou une formation professionnelle initiale en Suisse, par exemple un apprentissage, qu'il ne pourrait pas mener à terme dans son pays d'origine » (arrêt du Tribunal fédéral 2C_75/2011 précité consid. 3.4). Dans un récent arrêt (ATA/329/2022 du 29 mars 2022), la chambre administrative de la Cour de justice (ci-après : la chambre administrative) n’a pas retenu</w:t>
      </w:r>
    </w:p>
    <w:p>
      <w:r>
        <w:t>- 14/21 - A/940/2022 l'existence de raisons personnelles majeures à demeurer en Suisse s'agissant de deux recourants âgés de 17 et 20 ans, en Suisse depuis 2008 à l'exception de l'année scolaire 2011-2012 durant laquelle ils avaient vécu au Kosovo avec leur mère, considérant notamment que bien qu’ils avaient passé une grande partie de leur enfance, ainsi que leur adolescence, en Suisse, qu'ils y avaient terminé leur scolarité obligatoire et qu’ils s’y étaient fait un cercle d'amis, ils n’y avaient achevé aucune formation professionnelle, n'y avaient pas atteint un degré de scolarité particulièrement élevé et, surtout, avaient acquis en Suisse avant tout des connaissances d'ordre général qui pourraient également être mises à profit ailleurs (consid. 9).</w:t>
      </w:r>
    </w:p>
    <w:p>
      <w:r>
        <w:rPr>
          <w:b/>
        </w:rPr>
        <w:t>E. 4</w:t>
      </w:r>
    </w:p>
    <w:p>
      <w:r>
        <w:t>Comme on le verra ci-dessous, l'art. 8 § 1 CEDH n'étend pas la protection de la vie privée au-delà des garanties offertes par les art. 30 al. 1 let. b de la loi fédérale sur les étrangers et l'intégration du 16 décembre 2005 (LEI - RS 142.20) et de l'art. 31 al. 1 de l'ordonnance relative à l'admission, au séjour et à l'exercice d'une activité lucrative du 24 octobre 2007 (OASA - RS 142.201). Par conséquent, après avoir rappelé la teneur de ces différentes dispositions et la jurisprudence qui en découle, le tribunal examinera de manière indifférenciée si, compte tenu de la situation respective des deux recourantes, la décision litigieuse s'avère contraire à ces différentes normes.</w:t>
      </w:r>
    </w:p>
    <w:p>
      <w:r>
        <w:rPr>
          <w:b/>
        </w:rPr>
        <w:t>E. 4.1</w:t>
      </w:r>
    </w:p>
    <w:p>
      <w:r>
        <w:t>; ATA/16/2018 du 9 janvier 2018 consid. 6a).</w:t>
      </w:r>
    </w:p>
    <w:p>
      <w:r>
        <w:rPr>
          <w:b/>
        </w:rPr>
        <w:t>E. 5</w:t>
      </w:r>
    </w:p>
    <w:p>
      <w:r>
        <w:t>Un étranger peut se prévaloir de l'art. 8 § 1 CEDH pour s'opposer des mesures étatiques constituant une ingérence dans sa vie privée. Le respect de la vie privée n'ouvre le droit à une autorisation de séjour qu'à des conditions restrictives, l'étranger devant établir l'existence de liens sociaux et professionnels spécialement intenses avec la Suisse, notablement supérieurs à ceux qui résultent d'une intégration ordinaire. Dans ce cadre, il ne saurait être présumé qu'à partir d'une certaine durée de séjour en Suisse, l'étranger y serait enraciné et disposerait de ce fait d'un droit de présence dans le pays. Il convient bien plus de procéder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130 II 493 consid. 4.6 ; arrêts du Tribunal fédéral 2D_13/2016 du 11 mars 2016 consid. 3.2 ; 2C_1130/2014 du 4 avril 2015 consid.</w:t>
      </w:r>
    </w:p>
    <w:p>
      <w:r>
        <w:rPr>
          <w:b/>
        </w:rPr>
        <w:t>E. 5.4</w:t>
      </w:r>
    </w:p>
    <w:p>
      <w:r>
        <w:t>; arrêt du Tribunal fédéral 2D_55/2015 du 9 mai 2016 consid. 4.1).</w:t>
      </w:r>
    </w:p>
    <w:p>
      <w:r>
        <w:t>- 19/21 - A/940/2022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 du Tribunal fédéral 6B_908/2019 du 5 novembre 2019 consid. 2.1.2 et les références citées). Une simple possibilité de mauvais traitements ne suffit donc pas et la personne qui invoque l’art. 3 CEDH doit démontrer à satisfaction qu’il existe pour elle un véritable risque concret et sérieux d’être victime de tortures ou de traitements inhumains ou dégradants en cas de renvoi dans son pays (arrêts du Tribunal administratif fédéral D-4646/2019 du 19 septembre 2019 ; D-6086/2018 du 28 février 2018). Il faut une preuve fondée sur un faisceau d’indices ou de présomptions non réfutées, suffisamment graves, précis et concordants, sans qu’il faille exiger une certitude absolue (ATAF 2011/24 consid. 10.4.1 ; arrêt du Tribunal administratif fédéral D-2576/2020 du 4 juin 2020). Des considérations générales sont insuffisantes à cet égard (arrêt du Tribunal fédéral 2C_1004/2018 du 11 juin 2019 consid. 7.2 et les nombreux arrêts cités).</w:t>
      </w:r>
    </w:p>
    <w:p>
      <w:r>
        <w:rPr>
          <w:b/>
        </w:rPr>
        <w:t>E. 6</w:t>
      </w:r>
    </w:p>
    <w:p>
      <w:r>
        <w:t>La LEI et ses ordonnances d'exécution, en particulier l'OASA, règlent l'entrée, le séjour et la sortie des étrangers dont le statut juridique n'est pas réglé par d'autres</w:t>
      </w:r>
    </w:p>
    <w:p>
      <w:r>
        <w:t>- 8/21 - A/940/2022 dispositions du droit fédéral ou par des traités internationaux conclus par la Suisse (cf. art. 1 et 2 LEI), ce qui est le cas pour les ressortissants de Macédoine du Nord. Selon l'art. 30 al. 1 let. b LEI, il est possible de déroger aux conditions d'admission d'un étranger en Suisse pour tenir compte des cas individuels d'extrême gravité. L'art. 31 al. 1 OASA prévoit que pour apprécier l’existence d’un cas individuel d’extrême gravité, il convient de tenir compte notamment de l'intégration du requérant (let. a), de sa situation familiale (let. c), de sa situation financière (let. d), de la durée de sa présence en Suisse (let. e), de son état de santé (let. f), ainsi que de ses possibilités de réintégration dans son État de provenance (let. g). Le critère de l'intégration du requérant se base sur le respect de la sécurité et de l'ordre public, le respect des valeurs de la Constitution, les compétences linguistiques, la participation à la vie économique ou l'acquisition d'une formation (art. 58a LEI).</w:t>
      </w:r>
    </w:p>
    <w:p>
      <w:r>
        <w:rPr>
          <w:b/>
        </w:rPr>
        <w:t>E. 7</w:t>
      </w:r>
    </w:p>
    <w:p>
      <w:r>
        <w:t>Selon les directives et commentaires du SEM (domaine des étrangers, octobre 2013, état au 1er janvier 2021, p. 41 ch. 3.3.1 ; ci-après : Directives LEI), les critères d’intégration (art. 58a LEI) servent de base à l'appréciation de l'intégration d'un étranger. Les principes juridiques appliqués jusqu'à présent à la notion « d'intégration réussie » et la jurisprudence y relative restent en principe valables, à ceci près que les exigences linguistiques sont désormais précisées (Directives LEI, ch. 3.3.1). Les critères de l'art. 58a LEI doivent impérativement être respectés, mais ne sont toutefois pas exhaustifs (ATF 137 III consid. 3.2.3 ; 137 II consid. 1 ; arrêts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w:t>
      </w:r>
    </w:p>
    <w:p>
      <w:r>
        <w:rPr>
          <w:b/>
        </w:rPr>
        <w:t>E. 8</w:t>
      </w:r>
    </w:p>
    <w:p>
      <w:r>
        <w:t>Les dispositions dérogatoires des art. 30 LEI et 31 OASA présentent un caractère exceptionnel, de sorte que les conditions pour la reconnaissance d'une telle situation doivent être appréciées de manière restrictive et ne confèrent pas un droit à l'obtention d'une autorisation de séjour (ATF 137 II 345 consid. 3.2.1 L ATA/353/2019 du 2 avril 2019 consid. 5c ; ATA/38/2019 du 15 janvier 2019 consid. 4c ; cf. aussi arrêts du Tribunal fédéral 2C_602/2019 du 25 juin 2019 consid. 3.3 ; 2C_222/2017 du 29 novembre 2017 consid. 1.1). L'autorité doit néanmoins procéder à l'examen de l'ensemble des circonstances du cas d'espèce pour déterminer l'existence d'un cas de rigueur (ATF 128 II 200 consid. 4 ; 124 II 110 consid. 2 ; ATA/38/2019 du 15 janvier 2019 consid. 4c ; Directives SEM, ch. 5.6).</w:t>
      </w:r>
    </w:p>
    <w:p>
      <w:r>
        <w:t>- 9/21 - A/940/2022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(ATF 123 II 125 consid. 5b/dd ; arrêt du Tribunal fédéral 2A.25/2004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reconnaissance de l'existence d'un cas individuel d'extrême gravité implique que les conditions de vie et d'existence de l'étranger doivent être mises en cause de manière accrue en comparaison avec celles applicables à la moyenne des étrangers.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(ATF 123 II 125 consid. 2 ; arrêt du Tribunal administratif fédéral F-1714/2016 du 17 septembre 2019 consid. 5.2 et références citées).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 ATA/353/2019 du 2 avril 2019 consid. 5d).</w:t>
      </w:r>
    </w:p>
    <w:p>
      <w:r>
        <w:rPr>
          <w:b/>
        </w:rPr>
        <w:t>E. 9</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w:t>
      </w:r>
    </w:p>
    <w:p>
      <w:r>
        <w:t>- 10/21 - A/940/2022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2020 consid. 5.2 ; arrêts du Tribunal administratif fédéral F-6322/2016 du 1er mai 2018 consid. 4.6 et les références citées ; ATA/353/2019 du 2 avril 2019 consid. 5d ; ATA/38/2019 du 15 janvier 2019 consid. 4d).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La durée du séjour (légal ou non) est ainsi un critère nécessaire, mais pas suffisant, à lui seul, pour la reconnaissance d'un cas de rigueur. La jurisprudence requiert, de manière générale, une très longue durée soit sept à huit ans (ATA/200/2021 du 23 février 2021 consid. 8c ; ATA/684/2020 du 21 juillet 2020 consid. 7e; Minh Son NGUYEN/Cesla AMARELLE, Code annoté de droit des migrations, vol. 2 : LEtr, 2017, p. 269 et les références citées). Le caractère continu ou non du séjour peut avoir une influence (arrêt du Tribunal administratif fédéral C-5048/2010 du 7 mai 2012 ; Minh Son NGUYEN/Cesla AMARELLE, op. cit., p. 269). A cet égard, il convient de souligner que la durée prise en considération doit correspondre à un séjour continu. Si une ou deux courtes interruptions annuelles, correspondant par exemple à la durée usuelle de quatre semaines de vacances, sont admissibles, la continuité du séjour en Suisse n'est par contre pas compatible avec des absences répétées ou des allers-retours avec le pays d'origine ou encore avec des séjours répétés dans d'autres pays, notamment lorsqu'aucun emploi ne peut être trouvé en Suisse ou pour des motifs familiaux ou professionnels. Dans ces cas, en effet, même lorsque la personne vit la majeure partie du temps en Suisse, cela dénote un mode de vie fondé sur des déplacements selon les opportunités et, quand bien même elle parvient à établir un réseau social en Suisse, on ne peut considérer qu'elle y a vraiment installé son centre de vie et que son départ au bout de plusieurs années constituerait pour elle un véritable déracinement. Ainsi, il est nécessaire que la personne qui requiert la régularisation de son séjour démontre qu'elle s'est établie en Suisse de manière ininterrompue. Une telle preuve fait défaut lorsqu'une documentation insuffisante laisse simplement apparaître la présence de la personne concernée en Suisse à des intervalles de temps de plusieurs semaines ou plusieurs mois.</w:t>
      </w:r>
    </w:p>
    <w:p>
      <w:r>
        <w:rPr>
          <w:b/>
        </w:rPr>
        <w:t>E. 10</w:t>
      </w:r>
    </w:p>
    <w:p>
      <w:r>
        <w:t>S'agissant de l'intégration professionnelle, elle doit revêtir un caractère exceptionnel au point de justifier, à elle seule, l'octroi d'une autorisation de séjour</w:t>
      </w:r>
    </w:p>
    <w:p>
      <w:r>
        <w:t>- 11/21 - A/940/2022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2A_543/2001 du 25 avril 2002 consid. 5.2 ; arrêt du Tribunal administratif fédéral F-3298/2017 du 12 mars 2019 consid. 7.4 et les références citées). Le fait de travailler pour ne pas dépendre de l'aide sociale, d'éviter de commettre des actes répréhensibles et de s'efforcer d'apprendre au moins la langue nationale parlée au lieu de domicile constitue un comportement ordinaire qui peut être attendu de tout étranger souhaitant obtenir la régularisation de ses conditions de séjour. Il ne s'agit pas là de circonstances exceptionnelles permettant, à elles seules, de retenir l'existence d'une intégration particulièrement marquée, susceptible de justifier la reconnaissance d'un cas de rigueur. L'intégration socio- culturelle n'est donc en principe pas susceptible de justifier à elle seule l'octroi d'une autorisation de séjour pour cas de rigueur. Néanmoins, cet aspect peut revêtir une importance dans la pesée générale des intérêts (cf. arrêts du Tribunal administratif fédéral C-541/2015 du 5 octobre 2015 consid. 7.3 et 7.6 ; C-384/ 2013 du 15 juillet 2015 consid. 6.2 et 7), les lettres de soutien, la participation à des associations locales ou l'engagement bénévole pouvant représenter des éléments en faveur d'une intégration réussie, voire remarquable (arrêts du Tribunal administratif fédéral C-74672014 du 19 février 2016 consid. 6.2.3 in fine ; C-2379/2013 du 14 décembre 2015 consid. 9.2).</w:t>
      </w:r>
    </w:p>
    <w:p>
      <w:r>
        <w:rPr>
          <w:b/>
        </w:rPr>
        <w:t>E. 11</w:t>
      </w:r>
    </w:p>
    <w:p>
      <w:r>
        <w:t>Il ne faut pas non plus perdre de vue qu’il est parfaitement normal qu'une personne ayant effectué un séjour prolongé en Suisse s'y soit créée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F-1714/2016 du 24 février 2017 consid. 5.3 ; F-3298/2017 du 12 mars 2019 consid. 7.3). 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w:t>
      </w:r>
    </w:p>
    <w:p>
      <w:r>
        <w:t>- 12/21 - A/940/2022</w:t>
      </w:r>
    </w:p>
    <w:p>
      <w:r>
        <w:rPr>
          <w:b/>
        </w:rPr>
        <w:t>E. 12</w:t>
      </w:r>
    </w:p>
    <w:p>
      <w:r>
        <w:t>L'art. 60 al. 2 OASA précise que l'étranger est tenu de prouver qu'il possède des connaissances orales de la langue nationale parlée au lieu de domicile équivalant au moins au niveau A2 du cadre de référence et des compétences d'écritures du niveau A1 au minimum.</w:t>
      </w:r>
    </w:p>
    <w:p>
      <w:r>
        <w:rPr>
          <w:b/>
        </w:rPr>
        <w:t>E. 13</w:t>
      </w:r>
    </w:p>
    <w:p>
      <w:r>
        <w:t>Doivent être pris en compte dans le cadre de l'appréciation des possibilités de réintégration dans l'État de provenance : l'âge de la personne concernée lors de son entrée en Suisse, sa connaissance des us et coutumes et sa maîtrise de la langue de son pays de provenance, ses problèmes de santés éventuels, son réseau familial et social dans son pays de provenance ainsi que ses possibilités de scolarisation et de formation dans ce pays, sa situation professionnelle et ses possibilités de réintégration sur le marché du travail dans son pays de provenance ainsi que ses conditions d'habitation dans ce même pays (directives LEI, ch. 5.6.12.7).</w:t>
      </w:r>
    </w:p>
    <w:p>
      <w:r>
        <w:rPr>
          <w:b/>
        </w:rPr>
        <w:t>E. 14</w:t>
      </w:r>
    </w:p>
    <w:p>
      <w:r>
        <w:t>Lorsqu'il y a lieu d'examiner la situation d'une famille sous l'angle de l'art. 30 al. 1 let. b LEI, la situation de chacun de ses membres ne doit pas être considérée isolément mais en relation avec le contexte familial global. Le sort de la famille formera en général un tout. Il serait en effet difficile d'admettre le cas d'extrême gravité, par exemple, uniquement pour les parents ou pour les enfants. Ainsi le problème des enfants est un aspect, certes important, de l'examen de la situation de la famille, mais il ne constitue pas le seul critère. Il y a donc lieu de porter une appréciation d'ensemble, tenant compte de tous les membres de la famille.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(ATF 123 II 125 consid. 4 ; arrêt du Tribunal fédéral 2A.718/2006 du 21 mars 2007 consid. 3).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(ATAF C-6237/2012 du 2 mai 2014 consid. 5.4 et jurisprudence citée, ATA/1305/2021 du 30 novembre 2021 ; ATA/555/2014 du 17 juillet 2014 consid. 7). Un retour dans la patrie peut, en particulier, représenter une rigueur excessive pour des adolescents ayant suivi l'école durant plusieurs années et achevé leur scolarité avec de bons résultats (ATF 123 II 125 consid. 4b ; arrêt du Tribunal fédéral 2C_75/2011 du 6 avril 2011 consid. 3.4 ; ATA/203/2018 du 6 mars 2018 consid. 9a). L'adolescence, une période comprise entre 12 et 16 ans, est en effet une période importante du développement personnel, scolaire et professionnel, entraînant souvent une intégration accrue dans un milieu déterminé (ATF 123 II</w:t>
      </w:r>
    </w:p>
    <w:p>
      <w:r>
        <w:t>- 13/21 - A/940/2022 125 consid. 4b ; arrêt du Tribunal fédéral 2C_75/2011 du 6 avril 2011 consid. 3.4 ; ATA/203/2018 du 6 mars 2018 consid. 9a). Le Tribunal fédéral a considéré que cette pratique différenciée réalisait la prise en compte de l'intérêt supérieur de l'enfant, telle qu'elle est prescrite par l'art. 3 al. 1 CDE (arrêts du Tribunal fédéral 2A.679/2006 du 9 février 2007 consid. 3 et 2A.43/2006 du 31 mai 2006 consid.</w:t>
      </w:r>
    </w:p>
    <w:p>
      <w:r>
        <w:rPr>
          <w:b/>
        </w:rPr>
        <w:t>E. 15</w:t>
      </w:r>
    </w:p>
    <w:p>
      <w:r>
        <w:t>Il sied par ailleurs de rappeler que dans le cadre de l'exercice de leur pouvoir d'appréciation, les autorités compétentes doivent tenir compte des intérêts publics, de la situation personnelle de l'étranger, ainsi que de son degré d'intégration (art. 96 al. 1 LEI). Sauf prescription particulière de la loi ou d'un traité international, l'étranger n'a donc en principe aucun droit à la délivrance et au renouvellement d'un permis de séjour pour cas de rigueur. L'autorité compétente dispose d'un très large pouvoir d'appréciation dans le cadre de l'examen des conditions de l'art. 31 al. 1 OASA, dont elle est tenue de faire le meilleur exercice en respectant les droits procéduraux des parties.</w:t>
      </w:r>
    </w:p>
    <w:p>
      <w:r>
        <w:rPr>
          <w:b/>
        </w:rPr>
        <w:t>E. 16</w:t>
      </w:r>
    </w:p>
    <w:p>
      <w:r>
        <w:t>En l'espèce, la recourante 1, arrivée en Suisse, à Genève, en août 2017, alors qu'elle était âgée de 13 ans, en avait 16 lorsque la demande d'autorisation de séjour a été déposée en juillet 2020 et est actuellement âgée de 18 ans révolus. Elle a ainsi passé cinq ans en Suisse, y a traversé toute son adolescence et y entame à présent sa vie de jeune adulte. Bien qu'importante au niveau du développement de la personne, comme le retient de manière constante la jurisprudence, cette période n'est cependant pas à elle seule absolument suffisante pour considérer qu'elle entraîne nécessairement une intégration telle qu'un départ de Suisse placerait la personne concernée dans un état de détresse. En l'espèce, il sied de relever que la recourante 1 n'a pour l'instant vécu en Suisse que durant cette période-là et qu'elle a vécu entièrement à l'étranger ses treize premières années de vie. S'agissant de l'intégration sociale de la recourante 1, elle ne saurait être minimisée et il est évident que comme la plupart des jeunes personnes de son âge, elle a pu se constituer en quelques années, en particulier à travers son parcours scolaire et ses activités extrascolaires (volley-ball, violon et natation), un réseau d'amis et de connaissances plus ou moins important. Cela étant, l'autorité intimée a pertinemment relevé dans ses écritures que la recourante 1 et sa famille ont connu, jusqu'à leur arrivée à Genève, différents lieux de vie, tout d'abord lors de la fondation de la famille dans le pays d'origine et plus tard lors des séjours effectués au Pakistan de 2009 à 2014, puis en Inde de 2014 à</w:t>
      </w:r>
    </w:p>
    <w:p>
      <w:r>
        <w:t>- 15/21 - A/940/2022 2017. Ces déplacements, liés aux missions professionnelles du père de la recourante 1, ont inscrit la famille dans un contexte international et d'itinérance, à tel point d'ailleurs que le fils aîné étudie et vit actuellement aux États-Unis d'Amérique, que la mère et sa fille séjournent en Suisse, tandis que le père est depuis environ cinq ans en mission respectivement en Afghanistan et en Azerbaïdjan. Si cela peut légitimement amener la recourante 1 à vouloir justement inscrire son existence, au moins à moyen terme, dans un lieu donné, cela ne signifie pas pour autant que l'obligation où elle serait de devoir quitter la Suisse pourrait véritablement la placer en situation de détresse. Certes, on peut comprendre que la recourante 1 soit lassée de devoir régulièrement quitter ses lieux de vie, mais elle en a précisément eu l'habitude jusqu'ici et l'énergie qu'elle a déployée depuis son arrivée dans le canton de Genève pour y installer un nouveau centre d'existence démontre également sa capacité d'adaptation. C'est également avec pertinence que l'autorité intimée relève que le parcours scolaire de la recourante 1 a toujours eu lieu en milieu international, milieu qu'elle pourrait relativement facilement retrouver en Turquie. Enfin, la légitimité du désir de la recourante 1 de s'installer de manière pérenne dans un lieu donné, en particulier au moment où elle commence à pouvoir envisager de mener sa vie de manière indépendante, ne signifie pas, du point de vue des intérêts publics de la Suisse, que ce désir doive être exaucé en Suisse plutôt que dans son pays d'origine. S'agissant de la recourante 2, bien qu'elle ne précise pas exactement à quelle date elle a elle-même quitté la Turquie, on peut retenir de manière vraisemblable que ce n'est pas avant la naissance de sa fille en 2004, voire plus probablement avant le départ de son mari lors du premier poste qu'il a occupé au Pakistan à partir de 2009. Cela signifie qu'elle a vécu en Turquie jusqu'à ses 36, voire jusqu'à ses 41 ans. Elle a ensuite vécu au Pakistan puis en Inde pendant une durée totale de huit ans, n'arrivant qu'à l'âge de 49 ans en Suisse. C'est dire qu'elle a vécu respectivement dans son pays d'origine puis dans d'autres pays plus de la moitié de sa vie d'adulte, tandis que son séjour en Suisse, qui est de 5 ans, ne représente qu'une petite fraction de la durée vécue en dehors de ce pays. Dans ces conditions, même si l'on peut concevoir qu'elle a trouvé en Suisse un mode de vie qu'elle souhaiterait vivement conserver – et qu'elle perdrait dès lors avec tout autant de regret –, on ne saurait raisonnablement admettre qu'elle y a séjourné pendant une durée telle qu'elle s'y serait naturellement créée des attaches si profondes et durables que son départ constituerait pour elle un véritable déracinement. Sur le plan de son intégration socioprofessionnelle, la recourante 2 possède une maîtrise tout à fait suffisante du français, n'a ni dette, ni casier judiciaire et n'émarge pas à l'aide sociale dans la mesure où son époux subvient à ses besoins et à ceux de sa fille. Elle fait état de sa passion pour la photographie et indique qu'elle s'investit dans une association de photographes. Elle mentionne également – sans toutefois fournir d'éléments concrets – son souhait de mettre à profit les</w:t>
      </w:r>
    </w:p>
    <w:p>
      <w:r>
        <w:t>- 16/21 - A/940/2022 connaissances qu'elle a accumulées en matière culinaire, notamment lors de ses séjours au Pakistan et en Inde, pour ouvrir un restaurant à Genève. Il s'agit certes d'indications favorables, mais qui ne témoignent cependant pas non plus d'une intégration particulièrement remarquable. Par conséquent, en examinant de manière globale la durée de son séjour à Genève et son niveau d'intégration, le tribunal ne saurait émettre aucune critique sur la manière dont l'autorité intimée a apprécié ces aspects et sur les conclusions qu'elle en a tirées. Quant aux conséquences qu'aurait pour la recourante 1 son retour en Turquie, le parcours en milieu international qu'elle a suivi jusqu'ici lui permettrait manifestement de se réintégrer en Turquie sans difficulté particulière et d'y entamer la suite de son parcours, en particulier à J______ ou à K______, où, pour mention, se trouvent des dizaines d'universités publiques ou privées. La recourante 2, qui a vécu à tout le moins jusqu'à 36 ans en Turquie, voire jusqu'à 41 ans, y a toutes ses attaches culturelles et sans doute encore un réseau de famille et d'amis, quand bien même les années qu'elle a vécues à l'étranger depuis son départ auraient distendu ces liens. Aussi bien pour elle que pour sa fille, un retour en Turquie ne saurait constituer une difficulté majeure de réintégration, car si elles ont pu installer provisoirement leur existence successivement au Pakistan, en Inde, puis en Suisse, on voit mal ce qui serait susceptible de rendre extrêmement difficile le fait de retourner dans le pays dont elles sont originaires.</w:t>
      </w:r>
    </w:p>
    <w:p>
      <w:r>
        <w:rPr>
          <w:b/>
        </w:rPr>
        <w:t>E. 17</w:t>
      </w:r>
    </w:p>
    <w:p>
      <w:r>
        <w:t>Le seul élément concret qu'avancent les recourantes à ce sujet est lié à leur appartenance à la minorité Kurde.</w:t>
      </w:r>
    </w:p>
    <w:p>
      <w:r>
        <w:rPr>
          <w:b/>
        </w:rPr>
        <w:t>E. 18</w:t>
      </w:r>
    </w:p>
    <w:p>
      <w:r>
        <w:t>Selon la jurisprudence du Tribunal administratif fédéral (arrêts D-257/2016 du 15 janvier 2018 consid. 5.1 et 11.2 ; E-4338/2014 du 24 août 2017 consid. 7), la situation sur le plan politique et des droits humains en Turquie s’est considérablement détériorée ces dernières années, notamment depuis la tentative de coup d’Etat et de l’état d’urgence proclamé au mois de juillet 2016. L’Organisation des Nations Unies et diverses associations des droits humains ont exprimé leurs craintes que le gouvernement turc restreigne à grande échelle, dans le cadre de cet état d’urgence, les droits de l’homme garantis par le droit international. Elles ont, depuis, relevé de nombreuses arrestations et « purges politiques », notamment à l’égard de personnes engagées en faveur de la cause kurde, ayant des liens avec les mouvements pro-kurdes ou d’autres s’étant exprimés contre la répression. En décembre 2017, plus de 55’000 arrestations avaient été dénombrées depuis le mois de juillet 2016. Il n’en reste pas moins que la Turquie ne connaît pas une situation de guerre, de guerre civile ou de violence</w:t>
      </w:r>
    </w:p>
    <w:p>
      <w:r>
        <w:t>- 17/21 - A/940/2022 généralisée qui permettrait d’emblée - et indépendamment des circonstances du cas d’espèce - de présumer, à propos de tous les ressortissants du pays, l’existence d’une mise en danger concrète au sens de l’art. 83 al. 4 LEtr. Des affrontements, opposant l’armée turque et le PKK, avaient repris dans le sud- est de la Turquie, touchant également les zones urbaines, où des attentats avaient eu lieu. Ces combats avaient essentiellement touché les provinces de Diyarbakir, Mardin, Siirt, Agri, Hakkari et Sirnak, ainsi que, à un moindre degré, celles de Kilis, Sanliurfa et Van. Les provinces de Tunceli, Bingöl, Bitlis, Ardahan et Mus avaient été atteintes de manière sporadique (Organisation suisse d'aide aux réfugiés, Turquie : situation dans le sud-est - état au mois d’août 2016, p. 7 et 15- 16 ; Türkei : Aktuelle Situation, mai 2017). En revanche, aucun combat ou affrontement d’ampleur n’avait été rapporté dans la province de Kahramanmaras ou celle d’Adyaman. Le Tribunal administratif fédéral a également retenu que s’il n’était pas exclu, au vu de la situation actuelle en Turquie, qu’un ressortissant turc, d’ethnie kurde et qui avait séjourné plusieurs années à l’étranger, puisse être contrôlé et interrogé par les autorités turques à son retour dans son pays, cela ne permettait pas encore de justifier une admission provisoire ; en fait, ni l’ethnie kurde de l’intéressé, ni sa confession alévie, ni l’existence d’une fiche politique établie à son nom ou encore ses liens familiaux et ses origines ne permettaient de fonder une crainte de persécution future en cas de retour en Turquie (arrêt D-257/2016 du 15 janvier 2018 consid. 5.6 et 5.7).</w:t>
      </w:r>
    </w:p>
    <w:p>
      <w:r>
        <w:rPr>
          <w:b/>
        </w:rPr>
        <w:t>E. 19</w:t>
      </w:r>
    </w:p>
    <w:p>
      <w:r>
        <w:t>Cette jurisprudence, qui s'attache à la question du caractère raisonnablement admissible d'un renvoi – et donc à celle de l'admission provisoire en Suisse – vaut par analogie, sous l'angle du cas individuel d'extrême gravité, pour ce qui concerne la question de savoir si, en tant que membres de la communauté kurde, les recourantes seraient exposées, à leur retour en Turquie, à de graves difficultés personnelles. Or, en dehors des diverses discriminations dont font malheureusement l'objet les Kurdes de Turquie, on ne voit pas de quel grave dommage les recourantes seraient menacées à titre personnel. Elles n'allèguent pas être contraintes de s'installer dans les zones kurdes où le gouvernement turc mène régulièrement des actions militaires violentes, ni qu'elles auraient mené, avant leur départ de Turquie ou depuis qu'elles ont quitté ce pays, des actions politiques qui leur vaudraient un risque particulier de persécutions ou de mauvais traitements. Il faut d'ailleurs relever que, quand bien même la recourante 2 et son mari ont vécu en Turquie plusieurs années de leur vie d'adultes, la précitée n'indique nullement qu'en raison de sa qualité de Kurde, elle aurait subi à cette époque des atteintes à sa personne, à sa liberté ou à ses autres droits fondamentaux. Or, les recourantes n'expliquent pas non plus en quoi la situation se serait radicalement modifiée dans l'intervalle –</w:t>
      </w:r>
    </w:p>
    <w:p>
      <w:r>
        <w:t>- 18/21 - A/940/2022 étant précisé qu'elles n'indiquent pas en quoi les suites de la tentative de coup d'Etat de juillet 2016 pourraient les concerner spécifiquement.</w:t>
      </w:r>
    </w:p>
    <w:p>
      <w:r>
        <w:rPr>
          <w:b/>
        </w:rPr>
        <w:t>E. 20</w:t>
      </w:r>
    </w:p>
    <w:p>
      <w:r>
        <w:t>Au vu de ce qui précède, c'est sans abuser de son pouvoir d'appréciation que l'autorité intimée a refusé de préaviser favorablement le cas des recourantes auprès du SEM.</w:t>
      </w:r>
    </w:p>
    <w:p>
      <w:r>
        <w:rPr>
          <w:b/>
        </w:rPr>
        <w:t>E. 21</w:t>
      </w:r>
    </w:p>
    <w:p>
      <w:r>
        <w:t>Le recours sera ainsi rejeté sur ce point.</w:t>
      </w:r>
    </w:p>
    <w:p>
      <w:r>
        <w:rPr>
          <w:b/>
        </w:rPr>
        <w:t>E. 22</w:t>
      </w:r>
    </w:p>
    <w:p>
      <w:r>
        <w:t>Selon l’art. 64 al. 1 LEtr, l’autorité rend une décision de renvoi ordinaire à l’encontre d’un étranger qui n’a pas d’autorisation alors qu’il y est tenu (let. a), d’un étranger qui ne remplit pas ou ne remplit plus les conditions d’entrée en Suisse (let. b) et d’un étranger auquel une autorisation est refusée ou dont l’autorisation, bien que requise, est révoquée ou n’est pas prolongée après un séjour autorisé (let. c). Le renvoi constitue la conséquence logique et inéluctable du rejet d’une demande tendant à la délivrance ou la prolongation d’une autorisation de séjour, l’autorité ne disposant à ce titre d’aucun pouvoir d’appréciation (cf. ATA/1118/2020 du 10 novembre 2020 consid. 11a ; ATA/991/2020 du 6 octobre 2020 consid. 6b).</w:t>
      </w:r>
    </w:p>
    <w:p>
      <w:r>
        <w:rPr>
          <w:b/>
        </w:rPr>
        <w:t>E. 23</w:t>
      </w:r>
    </w:p>
    <w:p>
      <w:r>
        <w:t>En l'espèce, le refus de préaviser favorablement l'octroi d'un titre de séjour aux recourantes entraînait donc nécessairement le prononcé de leur renvoi de Suisse.</w:t>
      </w:r>
    </w:p>
    <w:p>
      <w:r>
        <w:rPr>
          <w:b/>
        </w:rPr>
        <w:t>E. 24</w:t>
      </w:r>
    </w:p>
    <w:p>
      <w:r>
        <w:t>Reste à examiner si l'exécution de ce renvoi serait contraire à l'art. 83 LEI.</w:t>
      </w:r>
    </w:p>
    <w:p>
      <w:r>
        <w:rPr>
          <w:b/>
        </w:rPr>
        <w:t>E. 25</w:t>
      </w:r>
    </w:p>
    <w:p>
      <w:r>
        <w:t>Conformément à l’art. 83 al. 1 LEtr, le SEM décide d’admettre provisoirement un 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(cf. arrêt du Tribunal administratif fédéral E-5624/2017 du 11 août 2020 consid. 6.2). L’exécution du renvoi n’est pas licite lorsqu’elle serait contraire aux engagements internationaux de la Suisse (art. 83 al. 3 LEI). Cette disposition vise notamment l’étranger pouvant démontrer qu’il serait exposé à un traitement prohibé par les art. 3 de la Convention de sauvegarde des droits de l’homme et des libertés fondamentales du 4 novembre 1950 (CEDH - RS 0.101) ou 3 de la Convention contre la torture et autres peines ou traitements cruels, inhumains ou dégradants du 10 décembre 1984 (Conv. torture - RS 0.105 ; ATA/1004/2021 du 28 septembre 2021 consid. 4a), dispositions conventionnelles qui ont la même portée que les art. 10 al. 3 et 25 al. 3 Cst. (ATF 139 II 65 consid.</w:t>
      </w:r>
    </w:p>
    <w:p>
      <w:r>
        <w:rPr>
          <w:b/>
        </w:rPr>
        <w:t>E. 26</w:t>
      </w:r>
    </w:p>
    <w:p>
      <w:r>
        <w:t>La question de savoir si, en tant que telle, l'appartenance d'une personne à la communauté kurde réalise les conditions d'une admission provisoire, a été évoquée ci-dessus (cf. consid. 18), la réponse étant globalement négative – sous réserve de circonstances particulières touchant à la personne concernée.</w:t>
      </w:r>
    </w:p>
    <w:p>
      <w:r>
        <w:rPr>
          <w:b/>
        </w:rPr>
        <w:t>E. 27</w:t>
      </w:r>
    </w:p>
    <w:p>
      <w:r>
        <w:t>En l'espèce, les recourantes ont mis en avant leur qualité de Kurdes, sans autres éléments permettant de retenir qu'elles pourraient subir des traitements prohibés par l'art. 3 CEDH ou par l'art. 3 Conv. torture. Par conséquent, pour les motifs qui viennent d'être rappelés, les conditions d'octroi d'une admission provisoire ne sont pas non plus réalisées.</w:t>
      </w:r>
    </w:p>
    <w:p>
      <w:r>
        <w:rPr>
          <w:b/>
        </w:rPr>
        <w:t>E. 28</w:t>
      </w:r>
    </w:p>
    <w:p>
      <w:r>
        <w:t>Sur ce point également, le recours s'avère infondé.</w:t>
      </w:r>
    </w:p>
    <w:p>
      <w:r>
        <w:rPr>
          <w:b/>
        </w:rPr>
        <w:t>E. 29</w:t>
      </w:r>
    </w:p>
    <w:p>
      <w:r>
        <w:t>Il sera donc rejeté dans son intégralité.</w:t>
      </w:r>
    </w:p>
    <w:p>
      <w:r>
        <w:rPr>
          <w:b/>
        </w:rPr>
        <w:t>E. 30</w:t>
      </w:r>
    </w:p>
    <w:p>
      <w:r>
        <w:t>En application des art. 87 al. 1 LPA et 1 et 2 du règlement sur les frais, émoluments et indemnités en procédure administrative du 30 juillet 1986 (RFPA - E 5 10.03), les recourantes, qui succombent, sont condamnées, prises solidairement, au paiement d’un émolument s'élevant à CHF 800.- ; il est partiellement couvert par l’avance de frais de CHF 500.- versée à la suite du dépôt du recours. Vu l’issue du litige, aucune indemnité de procédure ne sera allouée (art. 87 al. 2 LPA).</w:t>
      </w:r>
    </w:p>
    <w:p>
      <w:r>
        <w:rPr>
          <w:b/>
        </w:rPr>
        <w:t>E. 31</w:t>
      </w:r>
    </w:p>
    <w:p>
      <w:r>
        <w:t>En vertu des art. 89 al. 2 et 111 al. 2 de la loi sur le Tribunal fédéral du 17 juin 2005 (LTF - RS 173.110), le présent jugement sera communiqué au secrétariat d'État aux migrations.</w:t>
      </w:r>
    </w:p>
    <w:p>
      <w:r>
        <w:t>- 20/21 - A/940/2022</w:t>
      </w:r>
    </w:p>
    <w:p>
      <w:r>
        <w:t>- 21/21 - A/940/2022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