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JTAPI/1063/2024 vom 29. Oktober 2024</w:t>
      </w:r>
    </w:p>
    <w:p>
      <w:r>
        <w:t>GE Cour de justice, 2024-10-29, FR</w:t>
      </w:r>
    </w:p>
    <w:p>
      <w:r>
        <w:rPr>
          <w:b/>
        </w:rPr>
        <w:t xml:space="preserve">Quelle: </w:t>
      </w:r>
      <w:r>
        <w:t>https://mcp.opencaselaw.ch/entscheid/ge_gerichte_JTAPI_1063_2024</w:t>
      </w:r>
    </w:p>
    <w:p>
      <w:r>
        <w:t>FR: GE_GERICHTE JTAPI/1063/2024 du 29 octobre 2024</w:t>
      </w:r>
    </w:p>
    <w:p>
      <w:r>
        <w:t>IT: GE_GERICHTE JTAPI/1063/2024 del 29 ottobre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5</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6</w:t>
      </w:r>
    </w:p>
    <w:p>
      <w:r>
        <w:t>À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t>- 5/9 - A/3423/2024</w:t>
      </w:r>
    </w:p>
    <w:p>
      <w:r>
        <w:rPr>
          <w:b/>
        </w:rPr>
        <w:t>E. 7</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8</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9</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10</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11</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w:t>
      </w:r>
    </w:p>
    <w:p>
      <w:r>
        <w:t>- 6/9 - A/3423/2024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 A titre d'exemple, dans sa jurisprudence récente, la chambre administrative de la Cour de justice (ci-après : chambre administrative)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De même, elle a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w:t>
      </w:r>
    </w:p>
    <w:p>
      <w:r>
        <w:rPr>
          <w:b/>
        </w:rPr>
        <w:t>E. 12</w:t>
      </w:r>
    </w:p>
    <w:p>
      <w:r>
        <w:t>En l’espèce, A______ ressortissant nigérian n’est pas au bénéfice d’une autorisation de courte durée (art. 32 LEI), de séjour (art. 33 LEI) ou d’établissement (art. 34 LEI), ce qu’il ne conteste au demeurant pas. Il est simplement titulaire d’un permis de séjour lui permettant de résider en Espagne et de se rendre sur le territoire suisse. Il a été condamné à deux reprises en 2016, une première fois pour infraction à l’art. 19 al. 1 LStup et une deuxième fois pour infraction à l’art. 19 al. 1 LStup et 115 al. 1 let. b LEI. Le 5 octobre 2024, il a été interpellé par la police alors qu’il était en train de procéder à la transaction d’un sachet de marijuana (3,1 grammes) en échange de CHF 50.- et a ainsi été condamné pour infraction à l’art. 19 al. 1 let. c et 19a ch. 1 de la LStup. Même si cette condamnation n’est pas en force, puisqu’elle a été frappée d’opposition, il ressort du rapport d’arrestation et des faits retenus dans l’ordonnance pénale, que l’intéressé a été observé par des policiers assermentés alors qu’il procédait à un échange drogue/argent avec un toxicomane ; il avait été identifié sur planche photographique par le toxicomane à qui il aurait vendu la drogue. L’intéressé a également spontanément admis être consommateur de marijuana et qu’il en achetait parfois lorsqu’il avait de l’argent et du travail. Dès lors, le soupçon existe qu’il puisse à l’avenir commettre des infractions du type de celles pour lesquelles il est actuellement mis en cause. L’intéressé peut ainsi être effectivement perçu comme présentant une menace pour l’ordre et la sécurité publique. Par conséquent, l’ensemble des conditions légales d’une mesure d’éloignement au sens de l’art. 74 al. 1 let. a LEI sont réalisées en l’espèce.</w:t>
      </w:r>
    </w:p>
    <w:p>
      <w:r>
        <w:rPr>
          <w:b/>
        </w:rPr>
        <w:t>E. 13</w:t>
      </w:r>
    </w:p>
    <w:p>
      <w:r>
        <w:t>S’agissant du périmètre de l’interdiction, étendu à l’ensemble du canton de Genève, comme le tribunal de céans a déjà eu l’occasion de le retenir, il ne constitue pas un usage excessif du pouvoir d’appréciation de l’autorité intimée. A______ a admis qu’il habitait à C______(France). Ses seuls liens avec Genève sont, selon ses déclarations, les déménagements auxquels il participe pour aider des amis et la</w:t>
      </w:r>
    </w:p>
    <w:p>
      <w:r>
        <w:t>- 8/9 - A/3423/2024 présence de sa fiancée qu’il vient voir durant les week-ends. L’intéressé s’est cependant limité à indiquer le prénom et la profession de sa fiancée. Il n’a donné aucun élément concret sur un éventuel domicile de celle-ci à Genève, se limitant à indiquer qu’elle vivait aux Augustins, soit au centre-ville, élément pertinent pour la délimitation du périmètre. Il n’a fourni aucune preuve concrète de leur relation. En tout état, rien ne s’oppose à ce que l’intéressée et sa fiancée continuent leur relation à C______(France). S’agissant des déménagements auxquels il participerait, le tribunal rappellera que A______ n’est aucunement autorisé à travailler en Suisse et qu’il exerce donc son activité dans le déménagement en toute illégalité. Enfin, il sied de rappeler qu’il a été arrêté dans le cadre d’affaires de stupéfiants en 2016 et en 2024 au centre-ville de Genève. A cela s’ajoute qu’il a spontanément déclaré que, s’il n’y avait pas eu d’ordonnance pénale à son encontre, il serait déjà retourné en Espagne. Au vu de ce qui précède, il ne se justifie pas de restreindre la mesure au centre-ville de Genève ; ainsi, l’interdiction de périmètre, étendue à l’ensemble du territoire genevois, sera confirmée. Enfin, la durée de la mesure, de douze mois, est conforme à la jurisprudence précitée et adaptée aux circonstances du cas d'espèce.</w:t>
      </w:r>
    </w:p>
    <w:p>
      <w:r>
        <w:rPr>
          <w:b/>
        </w:rPr>
        <w:t>E. 14</w:t>
      </w:r>
    </w:p>
    <w:p>
      <w:r>
        <w:t>Partant, le tribunal confirmera l'interdiction de pénétrer dans une région déterminée prise à l'encontre de A______ pour une durée de douze mois.</w:t>
      </w:r>
    </w:p>
    <w:p>
      <w:r>
        <w:rPr>
          <w:b/>
        </w:rPr>
        <w:t>E. 15</w:t>
      </w:r>
    </w:p>
    <w:p>
      <w:r>
        <w:t>Conformément à l'art. 9 al. 6 LaLEtr, le présent jugement sera communiqué à A______, à son avocat et au commissaire de police. En vertu des art. 89 al. 2 et 111 al. 2 de la loi sur le Tribunal fédéral du 17 juin 2005 (LTF - RS 173.110), il sera en outre communiqué au secrétariat d'État aux migrations.</w:t>
      </w:r>
    </w:p>
    <w:p>
      <w:r>
        <w:rPr>
          <w:b/>
        </w:rPr>
        <w:t>E. 16</w:t>
      </w:r>
    </w:p>
    <w:p>
      <w:r>
        <w:t>Un éventuel recours déposé contre le présent jugement n'aura pas d'effet suspensif (art. 10 al. 1 LaLEtr).</w:t>
      </w:r>
    </w:p>
    <w:p>
      <w:r>
        <w:t>- 9/9 - A/3423/2024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