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JTAPI/1060/2024 vom 29. Oktober 2024</w:t>
      </w:r>
    </w:p>
    <w:p>
      <w:r>
        <w:t>GE Cour de justice, 2024-10-29, FR</w:t>
      </w:r>
    </w:p>
    <w:p>
      <w:r>
        <w:rPr>
          <w:b/>
        </w:rPr>
        <w:t xml:space="preserve">Quelle: </w:t>
      </w:r>
      <w:r>
        <w:t>https://mcp.opencaselaw.ch/entscheid/ge_gerichte_JTAPI_1060_2024</w:t>
      </w:r>
    </w:p>
    <w:p>
      <w:r>
        <w:t>FR: GE_GERICHTE JTAPI/1060/2024 du 29 octobre 2024</w:t>
      </w:r>
    </w:p>
    <w:p>
      <w:r>
        <w:t>IT: GE_GERICHTE JTAPI/1060/2024 del 29 ottobre 2024</w:t>
      </w:r>
    </w:p>
    <w:p>
      <w:pPr>
        <w:pStyle w:val="Heading2"/>
      </w:pPr>
      <w:r>
        <w:t>Erwägungen</w:t>
      </w:r>
    </w:p>
    <w:p>
      <w:r>
        <w:rPr>
          <w:b/>
        </w:rPr>
        <w:t>E. 30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w:t>
      </w:r>
    </w:p>
    <w:p>
      <w:r>
        <w:rPr>
          <w:b/>
        </w:rPr>
        <w:t>E. 31</w:t>
      </w:r>
    </w:p>
    <w:p>
      <w:r>
        <w:t>En l’espèce, la recourante et ses enfants ne disposant plus d’aucun titre de séjour, c’est à bon droit que l’autorité intimée a prononcé leur renvoi de Suisse. S’agissant de l’exécution du renvoi, la recourante ne critique pas, en tant que tel, le délai au 25 juillet 2024 imparti par l’OCPM pour quitter la Suisse. Elle se limite à produire un courrier du centre de soins au sein duquel elle est suivie, selon lequel une interruption abrupte de son traitement pourrait entraîner un risque important de décompensation, impliquant une aggravation de ses symptômes et un passage à l’acte auto-agressif. Ce faisant, elle n’allègue ni ne démontre qu’elle serait dans l’impossibilité de prendre des mesures permettant de garantir le transfert de son dossier médical en Espagne et la poursuite de son traitement médical sur place sans interruption. Partant, elle n’établit pas que l’exécution du renvoi l’exposerait à une situation mettant gravement en péril son intégrité physique ou sa vie et que cette mesure ne pourrait pas être raisonnablement exigée.</w:t>
      </w:r>
    </w:p>
    <w:p>
      <w:r>
        <w:rPr>
          <w:b/>
        </w:rPr>
        <w:t>E. 32</w:t>
      </w:r>
    </w:p>
    <w:p>
      <w:r>
        <w:t>En conclusion, le recours s’avère mal fondé. Il sera dès lors rejeté et la décision attaquée confirmée.</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- 21/22 - A/1768/2024</w:t>
      </w:r>
    </w:p>
    <w:p>
      <w:r>
        <w:rPr>
          <w:b/>
        </w:rPr>
        <w:t>E. 34</w:t>
      </w:r>
    </w:p>
    <w:p>
      <w:r>
        <w:t>En vertu des art. 89 al. 2 et 111 al. 2 de la loi sur le Tribunal fédéral du 17 juin 2005 (LTF - RS 173.110), le présent jugement sera communiqué au secrétariat d’État aux migrations.</w:t>
      </w:r>
    </w:p>
    <w:p>
      <w:r>
        <w:t>- 22/22 - A/1768/2024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