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JTAPI/1059/2022 vom 10. Oktober 2022</w:t>
      </w:r>
    </w:p>
    <w:p>
      <w:r>
        <w:t>GE Cour de justice, 2022-10-10, FR</w:t>
      </w:r>
    </w:p>
    <w:p>
      <w:r>
        <w:rPr>
          <w:b/>
        </w:rPr>
        <w:t xml:space="preserve">Quelle: </w:t>
      </w:r>
      <w:r>
        <w:t>https://mcp.opencaselaw.ch/entscheid/ge_gerichte_JTAPI_1059_2022</w:t>
      </w:r>
    </w:p>
    <w:p>
      <w:r>
        <w:t>FR: GE_GERICHTE JTAPI/1059/2022 du 10 octobre 2022</w:t>
      </w:r>
    </w:p>
    <w:p>
      <w:r>
        <w:t>IT: GE_GERICHTE JTAPI/1059/2022 del 10 ottobre 2022</w:t>
      </w:r>
    </w:p>
    <w:p>
      <w:pPr>
        <w:pStyle w:val="Heading2"/>
      </w:pPr>
      <w:r>
        <w:t>Erwägungen</w:t>
      </w:r>
    </w:p>
    <w:p>
      <w:r>
        <w:rPr>
          <w:b/>
        </w:rPr>
        <w:t>E. 4</w:t>
      </w:r>
    </w:p>
    <w:p>
      <w:r>
        <w:t>De manière tout à fait surprenante, le dossier dont semble être nanti le commissaire de police, du moins tel qu'il a été transmis au tribunal, ne contient aucun renseignement sur les suites données par le Ministère public à l'arrestation de M. A______ le 19 septembre 2022, alors qu'en principe, s'agissant d'une personne arrêtée pour un petit trafic de rue, une ordonnance pénale est rendue le jour suivant ou à très bref délai. Ne fait pas non plus partie du dossier le renseignement obtenu par le tribunal auprès du Ministère public sur l'abandon de la poursuite pénale à l'encontre M. A______, en tout cas en ce qui concerne l'infraction de participation à du trafic de stupéfiant.</w:t>
      </w:r>
    </w:p>
    <w:p>
      <w:r>
        <w:rPr>
          <w:b/>
        </w:rPr>
        <w:t>E. 5</w:t>
      </w:r>
    </w:p>
    <w:p>
      <w:r>
        <w:t>Vraisemblablement, cette information n'était pas non plus en main de la chambre administrative lorsqu'elle a rendu l'ATA/1______ du 30 septembre 2022, puisqu'elle a appliqué l'art. 75 al. 1 let. g LEI en menant son propre raisonnement sur la base des éléments figurant au dossier, sans faire allusion à l'issue de la procédure pénale P/3______.</w:t>
      </w:r>
    </w:p>
    <w:p>
      <w:r>
        <w:t>- 6/9 - A/3273/2022</w:t>
      </w:r>
    </w:p>
    <w:p>
      <w:r>
        <w:rPr>
          <w:b/>
        </w:rPr>
        <w:t>E. 6</w:t>
      </w:r>
    </w:p>
    <w:p>
      <w:r>
        <w:t>Or, il se trouve que cette dernière procédure a conduit le Ministère public à retenir que les éléments réunis par la police à l'encontre de M. A______, tels qu'ils sont exposés dans le rapport d'arrestation du 19 septembre 2022, n'étaient pas suffisants pour retenir sa participation à du trafic de stupéfiants. Cette circonstance, certes antérieure à l'ATA/1______, mais qui constitue néanmoins un élément nouveau dans le dossier soumis jusqu'ici aux instances juridictionnelles, remet complètement en question l'appréciation que ces dernières ont pu porter sur la menace que l'intéressé pouvait constituer pour d'autres personnes ou sur la mise en danger de leur vie ou de leur intégrité corporelle, en raison de sa prétendue participation au trafic de stupéfiants. La juridiction administrative ne saurait s'écarter de l'appréciation de l'autorité de poursuite pénale et continuer à attribuer à M. A______ un comportement dont le Ministère public lui-même a renoncé à l'incriminer.</w:t>
      </w:r>
    </w:p>
    <w:p>
      <w:r>
        <w:rPr>
          <w:b/>
        </w:rPr>
        <w:t>E. 7</w:t>
      </w:r>
    </w:p>
    <w:p>
      <w:r>
        <w:t>Par conséquent, en tant qu'elle serait fondée sur les art. 75 al. 1 let. g et 76 al. 1 let. a LEI, la détention de M. A______ est illégale.</w:t>
      </w:r>
    </w:p>
    <w:p>
      <w:r>
        <w:rPr>
          <w:b/>
        </w:rPr>
        <w:t>E. 8</w:t>
      </w:r>
    </w:p>
    <w:p>
      <w:r>
        <w:t>Ce qui précède pourrait éventuellement expliquer la raison pour laquelle l'ordre de détention du 6 octobre 2022 fait nouvellement apparaître un motif de détention qui ne figurait pas dans l'ordre de détention initial du 21 septembre 2022, à savoir ceux prévus par l'art. 76 al. 1 let. b ch. 3 et 4 LEI.</w:t>
      </w:r>
    </w:p>
    <w:p>
      <w:r>
        <w:rPr>
          <w:b/>
        </w:rPr>
        <w:t>E. 9</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rPr>
          <w:b/>
        </w:rPr>
        <w:t>E. 10</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11</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w:t>
      </w:r>
    </w:p>
    <w:p>
      <w:r>
        <w:t>- 7/9 - A/3273/2022</w:t>
      </w:r>
    </w:p>
    <w:p>
      <w:r>
        <w:rPr>
          <w:b/>
        </w:rPr>
        <w:t>E. 12</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13</w:t>
      </w:r>
    </w:p>
    <w:p>
      <w:r>
        <w:t>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14</w:t>
      </w:r>
    </w:p>
    <w:p>
      <w:r>
        <w:t>En l'espèce, l'ordre de détention du 6 octobre 2022 met en avant le fait que M. A______ est démuni de tout document de voyage ou d'identité et de visa ou titre de séjour valable, qu'il est entré en Suisse sans autorisation et qu'il a violé à réitérées reprises l'interdiction de pénétrer dans le canton de Genève prononcée à son encontre le 11 novembre 2020, « comportement permettant de conclure qu'il entend se soustraire à son renvoi de Suisse et se refuse à obtempérer aux instructions des autorités ». De surcroît, il n'a aucune attache à Genève, ni aucune ressource financière, pas plus que lieu de résidence fixe, de sorte que le risque qu'il se soustraie à son renvoi en disparaissant « dans la nature » est particulièrement élevé.</w:t>
      </w:r>
    </w:p>
    <w:p>
      <w:r>
        <w:rPr>
          <w:b/>
        </w:rPr>
        <w:t>E. 15</w:t>
      </w:r>
    </w:p>
    <w:p>
      <w:r>
        <w:t>Contrairement à cette motivation, comme le souligne la jurisprudence rappelée ci- dessus, le fait que M. A______ est demeuré en Suisse et plus particulièrement à Genève malgré une mesure d'éloignement de ce canton est insuffisant pour retenir</w:t>
      </w:r>
    </w:p>
    <w:p>
      <w:r>
        <w:t>- 8/9 - A/3273/2022 en soi un risque de fuite au sens de l'art. 76 al. 1 ch. 3 ou 4 LEI. En invoquant la violation de la mesure d'éloignement du canton de Genève prononcée à son encontre le 11 novembre 2020, l'autorité intimée tente d'ailleurs de réintroduire dans l'appréciation du cas un motif de détention que la chambre administrative a expressément écarté dans son arrêt du 30 septembre 2022. Il est en outre inexact que M. A______ était démuni de tout document d'identité, puisqu'au moment de son arrestation le 19 septembre 2022, il était porteur d'une « carta di identita » délivrée par les autorités italiennes. Enfin, le fait qu'il est sans ressources financières ni résidence fixe et n'a aucune attache à Genève ne constitue de loin pas un ensemble d'éléments en eux-mêmes suffisants pour retenir un risque de fuite. En réalité, le dossier ne contient pas les éléments concrets mis en avant par la jurisprudence rappelée plus haut, permettant de considérer avec une vraisemblance suffisante que M. A______ se soustraira à son renvoi sitôt qu'il sera remis en liberté – même si une telle issue ne peut évidemment pas être exclue.</w:t>
      </w:r>
    </w:p>
    <w:p>
      <w:r>
        <w:rPr>
          <w:b/>
        </w:rPr>
        <w:t>E. 16</w:t>
      </w:r>
    </w:p>
    <w:p>
      <w:r>
        <w:t>Il s'avère donc que la détention de M. A______ ne peut non plus se fonder sur l'art. 76 al. 1 ch. 3 ou 4 LEI, de sorte qu'elle est illégale.</w:t>
      </w:r>
    </w:p>
    <w:p>
      <w:r>
        <w:rPr>
          <w:b/>
        </w:rPr>
        <w:t>E. 17</w:t>
      </w:r>
    </w:p>
    <w:p>
      <w:r>
        <w:t>Au vu de ce qui précède, il y a lieu d'annuler l'ordre de mise en détention administrative de M. A______ pour une durée de trois semaines et de prononcer sa mise en liberté immédiate.</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A/3273/2022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