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JTAPI/1057/2024 vom 28. Oktober 2024</w:t>
      </w:r>
    </w:p>
    <w:p>
      <w:r>
        <w:t>GE Cour de justice, 2024-10-28, FR</w:t>
      </w:r>
    </w:p>
    <w:p>
      <w:r>
        <w:rPr>
          <w:b/>
        </w:rPr>
        <w:t xml:space="preserve">Quelle: </w:t>
      </w:r>
      <w:r>
        <w:t>https://mcp.opencaselaw.ch/entscheid/ge_gerichte_JTAPI_1057_2024</w:t>
      </w:r>
    </w:p>
    <w:p>
      <w:r>
        <w:t>FR: GE_GERICHTE JTAPI/1057/2024 du 28 octobre 2024</w:t>
      </w:r>
    </w:p>
    <w:p>
      <w:r>
        <w:t>IT: GE_GERICHTE JTAPI/1057/2024 del 28 ottobre 2024</w:t>
      </w:r>
    </w:p>
    <w:p>
      <w:pPr>
        <w:pStyle w:val="Heading2"/>
      </w:pPr>
      <w:r>
        <w:t>Erwägungen</w:t>
      </w:r>
    </w:p>
    <w:p>
      <w:r>
        <w:rPr>
          <w:b/>
        </w:rPr>
        <w:t>E. 1</w:t>
      </w:r>
    </w:p>
    <w:p>
      <w:r>
        <w:t>Le tribunal connaît des recours dirigés, comme en l’espèce, contre les décisions sur réclamation en matière de TPC (art. 115 al. 2 et 116 al. 1 de la loi sur l’organisation</w:t>
      </w:r>
    </w:p>
    <w:p>
      <w:r>
        <w:t>- 5/9 - A/1317/2024 judiciaire du 26 septembre 2010 - LOJ - E 2 05 ; art. 315 al. 1 aLCP ; art. 49 de la loi de procédure fiscale du 4 octobre 2001 - LPFisc - D 3 17).</w:t>
      </w:r>
    </w:p>
    <w:p>
      <w:r>
        <w:rPr>
          <w:b/>
        </w:rPr>
        <w:t>E. 2</w:t>
      </w:r>
    </w:p>
    <w:p>
      <w:r>
        <w:t>Interjeté en temps utile et dans les formes prescrites devant la juridiction compétente, le recours est recevable au sens des art. 315 al. 1 aLCP et 49 LPFisc.</w:t>
      </w:r>
    </w:p>
    <w:p>
      <w:r>
        <w:rPr>
          <w:b/>
        </w:rPr>
        <w:t>E. 3</w:t>
      </w:r>
    </w:p>
    <w:p>
      <w:r>
        <w:t>Il n’est pas contesté que la recourante est soumise à la TPC du fait qu’elle a son siège dans le canton de Genève (art. 301 al. 1 let. c aLCP).</w:t>
      </w:r>
    </w:p>
    <w:p>
      <w:r>
        <w:rPr>
          <w:b/>
        </w:rPr>
        <w:t>E. 4</w:t>
      </w:r>
    </w:p>
    <w:p>
      <w:r>
        <w:t>La recourante reproche en substance à l’autorité intimée de l’avoir incorporée dans le groupe professionnel n° 64. Elle fait valoir qu’elle aurait dû être qualifiée de promoteur immobilier et non d’entreprise générale. Partant, elle n’aurait dû être imposée, conformément à l’art. 12 al. 3 aRDLCP, que sur le gain réalisé dans le cadre de l’opération immobilière conduite en 2020, à hauteur de 5,5‰. Or, cette opération s’était soldée par une perte, de sorte que l’assiette imposable était nulle.</w:t>
      </w:r>
    </w:p>
    <w:p>
      <w:r>
        <w:rPr>
          <w:b/>
        </w:rPr>
        <w:t>E. 5</w:t>
      </w:r>
    </w:p>
    <w:p>
      <w:r>
        <w:t>Le montant de la taxe professionnelle communale de chaque contribuable est établi sur la base de coefficients, applicables aux chiffres annuels de ses affaires, aux loyers annuels de tous les immeubles, locaux et terrains qu’il occupe professionnellement et à l’effectif annuel des personnes travaillant dans son entreprise (art. 302 aLCP). Les périodes de taxation et de calcul sont de deux ans chacune. La période de calcul précède la période de taxation. La période de taxation comprend une année de révision et une année de reconduction (art. 310 al. 1 let. a aLCP).</w:t>
      </w:r>
    </w:p>
    <w:p>
      <w:r>
        <w:rPr>
          <w:b/>
        </w:rPr>
        <w:t>E. 6</w:t>
      </w:r>
    </w:p>
    <w:p>
      <w:r>
        <w:t>Les contribuables sont classés par l’autorité de taxation dans le groupe professionnel correspondant à leur activité principale ou auquel elle peut être rattachée par analogie (art. 307 al. 1 aLCP). Les coefficients applicables aux chiffres des affaires des différents groupes professionnels, qui sont plafonnés à l’art. 307A aLCP, sont fixés sur la base de l’intensité de rendement moyen des activités prises en considération (art. 307B al. 1 aLCP).</w:t>
      </w:r>
    </w:p>
    <w:p>
      <w:r>
        <w:rPr>
          <w:b/>
        </w:rPr>
        <w:t>E. 7</w:t>
      </w:r>
    </w:p>
    <w:p>
      <w:r>
        <w:t>Les groupes professionnels et les coefficients y afférents sont définis aux art. 12A – devenu l’art. 12B aRDLCP le 1er janvier 2020 – à 13 aRDLCP, dès lors que l’art. 307B al. 8 aLCP prévoit que ces modalités ainsi que les coefficients applicables aux chiffres des affaires des groupes professionnels sont fixés par le Conseil d’État, par voie de règlement. Selon l’art. 12B aRDLCP, le coefficient sur le chiffre des affaires est de 0,7 ‰ pour les entreprises générales, de génie civil, de maçonnerie, de carrelage et de gypserie- peinture (groupe professionnel no 64). L’al. 3 de cette disposition prévoit quant à lui que le coefficient applicable aux gains réalisés par un contribuable sur des opérations immobilières est de 5,5‰. Selon la jurisprudence, la classification d’une entreprise dans un des nombreux groupes professionnels prévus à l’art. 12B aRDLCP doit se faire en fonction de son</w:t>
      </w:r>
    </w:p>
    <w:p>
      <w:r>
        <w:t>- 6/9 - A/1317/2024 activité réelle et non selon ses buts statutaires (ATA/717/2011 du 22 novembre 2011 consid. 6).</w:t>
      </w:r>
    </w:p>
    <w:p>
      <w:r>
        <w:rPr>
          <w:b/>
        </w:rPr>
        <w:t>E. 8</w:t>
      </w:r>
    </w:p>
    <w:p>
      <w:r>
        <w:t>Le « chiffre des affaires » pris en considération pour calculer la TPC est défini à l’art. 304 aLCP. Selon l’al. 1, il correspond à la somme des prestations brutes obtenues par le contribuable pour son propre compte et en son nom, en contrepartie de livraisons ou de mise à disposition de marchandises et de biens, ainsi que de services rendus. L’al. 2 de cette disposition énumère de manière exemplative les postes entrant dans cette définition et l’al. 3 prévoit les exonérations. L’ancien Tribunal administratif, puis la chambre administrative ont retenu que le chiffre des affaires au sens de l’art. 304 aLCP est une notion beaucoup plus large que le chiffre d’affaires. Le chiffre des affaires sert à évaluer la grandeur d’une entreprise sur la base du volume complet de ses rémunérations ou, pour reprendre les termes de l’exposé des motifs de la novelle de 1985 (loi no 5'561), du volume de ses affaires (ATA/969/2020 du 29 septembre 2020 consid. 8a et les références citées ; MGC 1984 IV 4947).</w:t>
      </w:r>
    </w:p>
    <w:p>
      <w:r>
        <w:rPr>
          <w:b/>
        </w:rPr>
        <w:t>E. 9</w:t>
      </w:r>
    </w:p>
    <w:p>
      <w:r>
        <w:t>En matière fiscale, selon un principe consacré, il incombe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Des explications générales et non étayées ne suffisent pas (ATA/969/2020 du 29 septembre 2020 consid. 8d et les références citées).</w:t>
      </w:r>
    </w:p>
    <w:p>
      <w:r>
        <w:rPr>
          <w:b/>
        </w:rPr>
        <w:t>E. 10</w:t>
      </w:r>
    </w:p>
    <w:p>
      <w:r>
        <w:t>En l’espèce, il convient en premier lieu d’examiner le grief de la recourante relatif à son incorporation prétendument erronée dans le groupe professionnel n° 64. Aux termes de sa première décision de rappel d’impôt et de taxation reconduite du 5 juillet 2023, l’autorité intimée a imposé le montant de CHF 18'347'494.-, déclaré par la recourante pour la période fiscale 2020, au taux de 5,5‰ applicable aux gains réalisés sur les opérations immobilières. Elle a considéré, selon toute vraisemblance, que la vente de villas réalisée en 2020 par la recourante constituait une opération immobilière au sens de l’art. 12B al. 3 aRDLCP et que l’intégralité du produit de celle-ci était taxable. À la suite de la réclamation formée par la recourante, qui prétendait qu’elle n’était pas imposable dès lors que l’opération en question s’était soldée par une perte, l’autorité intimée a modifié son analyse. Elle a retenu que l’activité de la recourante relevait du groupe professionnel n° 64 englobant les entreprises générales et que le produit de la vente des villas était imposable au taux de 0,7‰ au lieu de 5,5‰. Elle a justifié ce raisonnement dans sa réponse au recours par le fait que l’activité de la recourante était la construction d’immeubles et non l’achat et la revente de biens immobiliers déjà construits. Le taux prévu par l’art. 12B al. 3 aRDLCP n’était ainsi</w:t>
      </w:r>
    </w:p>
    <w:p>
      <w:r>
        <w:t>- 7/9 - A/1317/2024 pas applicable. La TPC 2022 et 2023 due par la recourante passait ainsi de CHF 50'280.- à CHF 6'250.- et l’amende sanctionnant la soustraction d’impôts de CHF 9'796.- à CHF 1'190.-. Dès lors qu’elle contestait cette assimilation de son activité à celle d’une entreprise générale, la recourante était tenue, conformément à son devoir de collaboration, de fournir spontanément au tribunal les éléments permettant d’étayer son point de vue. Il lui appartenait ainsi d’alléguer et de démontrer que l’opération immobilière qu’elle avait conduite en 2020 s’était limitée à l’acquisition et à la revente d’un lot de villas déjà construites et n’avait pas consisté à réaliser personnellement celles- ci, puis à les commercialiser. Or, l’intéressée se limite à se référer à l’extrait du Registre du commerce la concernant, selon lequel ses buts statutaires englobent notamment la promotion immobilière. Ce faisant, elle perd de vue que sa classification dans un des groupes professionnels prévus par l’art. 12B RDLCP ne doit pas s’effectuer en fonction de ses buts statutaires – dans lesquels figurent d’ailleurs la réalisation de projets immobiliers pour le compte de tiers et la direction d’entreprises générales – mais de son activité réelle. Elle ne prend pas non plus la peine d’expliquer pour quelle raison l’autorité intimée aurait inféré à tort de ses états financiers 2020, qui mentionnent des charges de CHF 18'469'930.- à titre de coûts de construction, qu’elle avait fait bâtir elle-même les villas litigieuses pour ensuite les revendre, de sorte que son activité s’était apparentée, sur ce point, à celle d’une entreprise générale du bâtiment. Dans ces circonstances, il ne saurait être reproché à l’autorité intimée d’avoir retenu que l’activité de la recourante relevait du groupe professionnel n° 64 et que le chiffre de ses affaires était imposable à hauteur de 0,7‰, conformément à l’art. 12B al. 1 aRDLCP. En conséquence, la question de savoir si la recourante pouvait prétendre à n’être imposée, conformément à l’art. 12B al. 3 aRDLCP, que sur les gains réalisés dans le cadre de l’opération immobilière réalisée en 2020, au motif que son activité relèverait de la promotion immobilière, et non sur le chiffre des affaires réalisées durant cette période, peut souffrir de rester indécise. Il en va de même de la question de savoir si la disposition précitée déroge aux art. 304 al. 1 aLCP et 12B al. 1 aRDLCP en prévoyant l’imposition des gains immobiliers et non celle du chiffre des affaires. Le chiffre des affaires pris en considération pour calculer la TPC correspondant à la somme des prestations brutes obtenues par la recourante pour son propre compte, l’autorité intimée a pour le surplus considéré à juste titre que le montant imposable au titre de l’exercice 2020 équivalait, en l’occurrence, au produit de la vente des villas, soit CHF 18'347'494.-, et que le résultat final de cette vente, en l’occurrence une perte de CHF 122'436.-, n’était pas pertinent pour calculer le montant de la TPC. Ce point n’est du reste pas contesté par la recourante devant le tribunal. Les bordereaux litigieux seront par conséquent confirmés sur les points qui précèdent.</w:t>
      </w:r>
    </w:p>
    <w:p>
      <w:r>
        <w:t>- 8/9 - A/1317/2024 La recourante ne soulève pour le surplus aucun grief à l’encontre de l’amende pour soustraction fiscale qui lui a été infligée par l’autorité intimée dans le cadre de la décision entreprise. Il n’y a dès lors pas lieu d’examiner ce point plus avant (art. 65 al. 2 LPA). Partant, le recours, entièrement mal fondé, sera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lequel est couvert par l’avance de frais versée à la suite du dépôt du recours. Vu l’issue du litige, aucune indemnité de procédure ne sera allouée (art. 87 al. 2 LPA).</w:t>
      </w:r>
    </w:p>
    <w:p>
      <w:r>
        <w:t>- 9/9 - A/1317/2024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