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JTAPI/1053/2024 vom 28. Oktober 2024</w:t>
      </w:r>
    </w:p>
    <w:p>
      <w:r>
        <w:t>GE Cour de justice, 2024-10-28, FR</w:t>
      </w:r>
    </w:p>
    <w:p>
      <w:r>
        <w:rPr>
          <w:b/>
        </w:rPr>
        <w:t xml:space="preserve">Quelle: </w:t>
      </w:r>
      <w:r>
        <w:t>https://mcp.opencaselaw.ch/entscheid/ge_gerichte_JTAPI_1053_2024</w:t>
      </w:r>
    </w:p>
    <w:p>
      <w:r>
        <w:t>FR: GE_GERICHTE JTAPI/1053/2024 du 28 octobre 2024</w:t>
      </w:r>
    </w:p>
    <w:p>
      <w:r>
        <w:t>IT: GE_GERICHTE JTAPI/1053/2024 del 28 ottobre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Aux termes des art. 33 al. 1 let. hbis LIFD et 32 let. c de la loi sur l’imposition des personnes physiques du 27 septembre 2009 (LIPP - D 3 08), le contribuable peut défalquer de son revenu les frais liés à son handicap ou de celui d'une personne à l'entretien de laquelle il subvient, lorsque le contribuable ou cette personne est handicapé au sens de la loi fédérale sur l'élimination des inégalités frappant les personnes handicapées du 13 décembre 2002 (LHand - RS 151.3) et que le contribuable supporte lui-même les frais. La déduction au sens de l’art. 33 al. 1 let. hbis LIFD n’est possible que pour les dépenses effectives et à charge du contribuable, soit non assumées par les assurances, privées ou sociales (Yves NOËL/Bastion VERREY in Danielle</w:t>
      </w:r>
    </w:p>
    <w:p>
      <w:r>
        <w:t>- 4/6 - A/878/2024 YERSIN/Yves NOËL [éd.], Impôt fédéral direct, Commentaire de la loi sur l'impôt fédéral direct, 2017, n. 88 ad art. 33 LIFD).</w:t>
      </w:r>
    </w:p>
    <w:p>
      <w:r>
        <w:rPr>
          <w:b/>
        </w:rPr>
        <w:t>E. 4</w:t>
      </w:r>
    </w:p>
    <w:p>
      <w:r>
        <w:t>La circulaire n° 11 (p. 6 s, n° 4.1) précise qu’une personne handicapée est une personne qui souffre d’une déficience corporelle, mentale ou psychique présumée durable, de sorte qu’elle ne peut pas ou a des difficultés à accomplir les actes de la vie quotidienne, à entretenir des contacts sociaux, à se mouvoir, à se former, à se perfectionner ou à exercer une activité professionnelle. La déficience est durable lorsqu’elle empêche ou gêne depuis au moins un an l’exercice desdites activités ou qu’elle les empêchera ou les gênera vraisemblablement pendant au moins un an. L’entrave aux actes de la vie quotidienne, à la vie sociale, à la formation, au perfectionnement et à l’activité professionnelle doit être provoquée par la déficience corporelle, mentale ou psychique elle-même (lien de cause à effet). Les frais sont liés à un handicap lorsqu’ils sont occasionnés (lien de cause à effet) par un handicap tel que le définit le chiffre 4.1 ci-dessus et qu’ils ne constituent ni des frais d’entretien courant, ni des dépenses somptuaires. Les dépenses engagées par simple souci de confort personnel ou excessivement élevées qui excèdent ce qui est usuel et nécessaire ne sont pas déductibles (circulaire n° 11, p. 7 n° 4.2). Le surcoût résultant de la fréquentation d'une école privée n'est en général pas déductible. Il ne peut être considéré comme frais liés à un handicap que si un rapport du service cantonal de psychologie scolaire atteste que la fréquentation d'une école privée est la seule mesure possible à la scolarisation convenable et nécessaire d'un enfant handicapé (circulaire n° 11, p. 10 n° 4.3.10).</w:t>
      </w:r>
    </w:p>
    <w:p>
      <w:r>
        <w:rPr>
          <w:b/>
        </w:rPr>
        <w:t>E. 5</w:t>
      </w:r>
    </w:p>
    <w:p>
      <w:r>
        <w:t>En tant qu'ordonnance administrative, la circulaire n° 11 n'est pas juridiquement contraignante pour les tribunaux. Toutefois, le Tribunal fédéral ne s'écarte pas sans raison valable d'une ordonnance administrative légale, pour autant qu'elle permette une interprétation des dispositions légales applicables adaptée et équitable au cas d'espèce et qu'elle contienne une concrétisation convaincante des exigences légales (cf. ATF 145 V 84 consid. 6.1.1 ; 142 V 442 consid. 5.2).</w:t>
      </w:r>
    </w:p>
    <w:p>
      <w:r>
        <w:rPr>
          <w:b/>
        </w:rPr>
        <w:t>E. 6</w:t>
      </w:r>
    </w:p>
    <w:p>
      <w:r>
        <w:t>Selon la jurisprudence, qui se réfère notamment à la circulaire n° 11, pour être déductibles, les frais doivent être la conséquence directe du handicap au sens de l'art. 2 al. 1 LHand (arrêts du Tribunal fédéral 9C_635/2022 du 31 janvier 2023 consid. 22.1 et 22.2 ; 2C_ 479/2016 du 12 janvier 2017. consid. 3.4). Ils ne doivent en outre pas constituer des frais d'entretien courant, ni des dépenses somptuaires (arrêt du Tribunal fédéral 9C_635/2022 précité consid. 2.2.2 ; ATA/667/2023 du 20 juin 2023 consid. 34). En particulier, le Tribunal fédéral a jugé qu'il y avait un handicap au sens de l'art. 2 al. 1 LHand lorsque l'enseignement dans l'école ordinaire n'était pas possible (arrêts 2C_930/2011 du 1er mai 2012 consid. 3.3 ; 2C_588/2011 du 16 décembre 2011 consid. 3.3). Dans ce dernier arrêt, il a considéré, en se référant à la circulaire n° 11, que pour obtenir la déduction des frais liés à la fréquentation d'une école privée, il fallait respecter les deux conditions cumulatives suivantes : les frais d'une</w:t>
      </w:r>
    </w:p>
    <w:p>
      <w:r>
        <w:t>- 5/6 - A/878/2024 école privée doivent apparaitre comme nécessaires (respect du principe de causalité) et il doit s'agir de la seule mesure possible. Pour le Tribunal fédéral, cette deuxième condition était trop restrictive, car elle excluait d'autres mesures équivalentes. Il convenait donc d'examiner, au cas par cas, si une autre disposition, moins coûteuse ou plus étendue, n'aboutirait pas également. Dans ce contexte, il devait être possible pour l'assujetti d'en apporter la preuve par un rapport d'expertise, lorsqu'un rapport du service de psychologie scolaire n'était pas disponible. Il convenait d'approuver ces explications, d'autant plus qu'il s'agissait du principe de la libre appréciation (par le juge) des preuves (consid. 3.4 et la référence).</w:t>
      </w:r>
    </w:p>
    <w:p>
      <w:r>
        <w:rPr>
          <w:b/>
        </w:rPr>
        <w:t>E. 7</w:t>
      </w:r>
    </w:p>
    <w:p>
      <w:r>
        <w:t>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 ATA/1223/2020 du 1er décembre 2020 consid. 3c). En matière de frais liés à un handicap, en particulier, la circulaire n° 11 précise que le contribuable doit établir la preuve des frais dont il se prévaut, pour lui-même ou une personne à sa charge (p. 12, n° 6).</w:t>
      </w:r>
    </w:p>
    <w:p>
      <w:r>
        <w:rPr>
          <w:b/>
        </w:rPr>
        <w:t>E. 8</w:t>
      </w:r>
    </w:p>
    <w:p>
      <w:r>
        <w:t>En l’espèce, l’autorité intimée n’a pas remis en cause la qualification de l’enfant C______ en tant que personne handicapée, ni le principe de sa scolarisation dans une école privée. Ainsi, il ne dépendait que des recourants de produire l’attestation de l’OMP confirmant la nécessité d’une telle scolarisation, ce qu’ils n’ont pas fait, en dépit de deux demandes expresses de l'AFC-GE. L’attestation médicale du 4 mars 2024, très succincte et établie par une seule spécialiste en pédiatrie, ne saurait être considérée comme un « rapport d'expertise », au sens de la jurisprudence susmentionnée, ni comme un « rapport du service cantonal de psychologie scolaire », au sens de la circulaire n° 11. Quant aux bilans neuropsychologiques des 28 septembre 2021 et 2 octobre 2023, ils n'indiquent pas que l'inscription de C______ dans une école privée serait la mesure nécessaire à sa scolarisation adéquate. Ils se limitent en effet à préconiser des aménagements appropriés à l'école et à la maison, sans mentionner la nécessité d’une scolarisation dans une école privée.</w:t>
      </w:r>
    </w:p>
    <w:p>
      <w:r>
        <w:rPr>
          <w:b/>
        </w:rPr>
        <w:t>E. 9</w:t>
      </w:r>
    </w:p>
    <w:p>
      <w:r>
        <w:t>Partant, le recours sera rejeté.</w:t>
      </w:r>
    </w:p>
    <w:p>
      <w:r>
        <w:rPr>
          <w:b/>
        </w:rPr>
        <w:t>E. 10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w:t>
      </w:r>
    </w:p>
    <w:p>
      <w:r>
        <w:t>- 6/6 - A/878/2024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