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JTAPI/1050/2024 vom 28. Oktober 2024</w:t>
      </w:r>
    </w:p>
    <w:p>
      <w:r>
        <w:t>GE Cour de justice, 2024-10-28, FR</w:t>
      </w:r>
    </w:p>
    <w:p>
      <w:r>
        <w:rPr>
          <w:b/>
        </w:rPr>
        <w:t xml:space="preserve">Quelle: </w:t>
      </w:r>
      <w:r>
        <w:t>https://mcp.opencaselaw.ch/entscheid/ge_gerichte_JTAPI_1050_2024</w:t>
      </w:r>
    </w:p>
    <w:p>
      <w:r>
        <w:t>FR: GE_GERICHTE JTAPI/1050/2024 du 28 octobre 2024</w:t>
      </w:r>
    </w:p>
    <w:p>
      <w:r>
        <w:t>IT: GE_GERICHTE JTAPI/1050/2024 del 28 ottobre 2024</w:t>
      </w:r>
    </w:p>
    <w:p>
      <w:pPr>
        <w:pStyle w:val="Heading2"/>
      </w:pPr>
      <w:r>
        <w:t>Erwägungen</w:t>
      </w:r>
    </w:p>
    <w:p>
      <w:r>
        <w:rPr>
          <w:b/>
        </w:rPr>
        <w:t>E. 1</w:t>
      </w:r>
    </w:p>
    <w:p>
      <w:r>
        <w:t>Le tribunal connaît des recours dirigés, comme en l’espèce, contre les décisions sur réclamation de l'AFC-GE (art. 115 al. 2 et 116 al. 1 de la loi sur l’organisation</w:t>
      </w:r>
    </w:p>
    <w:p>
      <w:r>
        <w:t>- 7/14 - A/2700/2023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Préalablement, il convient de constater, avec l'AFC-GE, qu’il n’y pas lieu d’examiner la question de l’assujettissement illimité à Genève, étant donné que dans son recours le recourant admet expressément y avoir été domicilié en 2016, soit l’élément décisif pour la résolution de cette question. Il l’avait au demeurant confirmé en 2019 déjà, lors de son audition par la police judiciaire.</w:t>
      </w:r>
    </w:p>
    <w:p>
      <w:r>
        <w:rPr>
          <w:b/>
        </w:rPr>
        <w:t>E. 4</w:t>
      </w:r>
    </w:p>
    <w:p>
      <w:r>
        <w:t>Conformément aux 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4.1</w:t>
      </w:r>
    </w:p>
    <w:p>
      <w:r>
        <w:t>; 143 II 402 consid. 5.1). Sont en particulier imposables tous les revenus provenant de l'exploitation d'une entreprise commerciale, industrielle, artisanale, agricole ou sylvicole, et de l'exercice d'une profession libérale ou de toute autre activité lucrative indépendante (art. 18 al. 1 LIFD et 19 al. 1 LIPP).</w:t>
      </w:r>
    </w:p>
    <w:p>
      <w:r>
        <w:rPr>
          <w:b/>
        </w:rPr>
        <w:t>E. 5</w:t>
      </w:r>
    </w:p>
    <w:p>
      <w:r>
        <w:t>Selon les art. 16 al. 1 LIFD et 17 de la loi sur l’imposition des personnes physiques du 27 septembre 2009 (LIPP - D 3 08), l'impôt sur le revenu a pour objet tous les revenus, prestations et avantages du contribuable, qu'ils soient uniques ou périodiques, en espèces ou en nature et quelle qu'en soit l'origine, avant déductions. Ces dispositions expriment la théorie de l'accroissement du patrimoine, respectivement du principe de l'imposition du revenu global net, selon lesquels tous les montants qui accroissent le patrimoine d'une personne sont inclus dans son revenu imposable, à moins d'être expressément exonérés (cf. ATF 146 II 6 consid.</w:t>
      </w:r>
    </w:p>
    <w:p>
      <w:r>
        <w:rPr>
          <w:b/>
        </w:rPr>
        <w:t>E. 6</w:t>
      </w:r>
    </w:p>
    <w:p>
      <w:r>
        <w:t>La détermination du bénéfice net imposable pour les contribuables tenant une comptabilité en bonne et due forme s'effectue selon les règles applicables aux personnes morales (art. 19 al. 4 LIPP et 18 al. 3 LIFD).</w:t>
      </w:r>
    </w:p>
    <w:p>
      <w:r>
        <w:rPr>
          <w:b/>
        </w:rPr>
        <w:t>E. 7</w:t>
      </w:r>
    </w:p>
    <w:p>
      <w:r>
        <w:t>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(art. 125 al 2 LIFD et 29 al. 2 LPFisc). Le contribuable doit faire tout ce qui est nécessaire pour assurer une taxation complète et exacte. Sur demande de l’autorité de taxation, il doit notamment fournir des renseignements oraux ou écrits, présenter ses livres comptables, les pièces</w:t>
      </w:r>
    </w:p>
    <w:p>
      <w:r>
        <w:t>- 8/14 - A/2700/2023 justificatives et autres attestations ainsi que les pièces concernant ses relations d’affaires. Les personnes physiques qui exercent une activité lucrative indépendante doivent conserver pendant dix ans les livres ou les relevés, ainsi que les pièces justificatives en relation avec leur activité (art. 126 LIFD et 31 LPFisc).</w:t>
      </w:r>
    </w:p>
    <w:p>
      <w:r>
        <w:t>Les exigences auxquelles doivent répondre les pièces comptables requises par les dispositions précitées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2C_189/2016 du 13 février 2017 consid. 6.4.4; 2C_87/2015 du 23 octobre 2015 consid. 6.5). Cette exigence est d'autant plus importante lorsque le contribuable entend alléguer des faits de nature à éteindre ou à diminuer sa dette fiscale (ATF 121 II 257 consid. 4c/aa p. 266), ce qu'il lui incombe de prouver (ATF 133 II 153 consid. 4.3).</w:t>
      </w:r>
    </w:p>
    <w:p>
      <w:r>
        <w:t>La fonction première de la comptabilité commerciale est de fournir un système d’information fiable. Cette fiabilité intéresse en particulier les créanciers et les actionnaires de l’entreprise ou encore l’administration fiscale (déclaration d’impôt). Le principe d’intégralité (art. 957a al.2 ch.1 et 958c al.1 ch.1 de la loi fédérale du 30 mars 1911 complétant le Code civil suisse - CO - RS 220) exige que toutes les informations qui sont nécessaires à l’évaluation de la situation économique de l’entreprise (art. 957a al.1 CO) soient communiquées. Le principe de fiabilité, quant à lui, englobe les principes de l’exactitude des comptes, de la sincérité (fidélité) du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(art.957a al.2 ch. 2 CO), commande de documenter chaque opération significative par une pièce comptable reflétant l’élément de fait concerné (MSA 2014, 33). La pièce justificative doit porter le libellé de l’écriture, son montant, les références de l’émetteur et la date de son établissement (Robert DANON in Yves NOËL, Florence AUBRY GIRARDIN, Commentaire romand de la loi fédérale sur l’impôt fédéral direct, 2ème édition, 2017, art. 58 § 21 - 24, p. 1059-1060).</w:t>
      </w:r>
    </w:p>
    <w:p>
      <w:r>
        <w:rPr>
          <w:b/>
        </w:rPr>
        <w:t>E. 8</w:t>
      </w:r>
    </w:p>
    <w:p>
      <w:r>
        <w:t>En matière fiscale,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 Ce dernier devra justifier l'origine des montants non déclarés. L'omission ou l'échec</w:t>
      </w:r>
    </w:p>
    <w:p>
      <w:r>
        <w:t>- 9/14 - A/2700/2023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w:t>
      </w:r>
    </w:p>
    <w:p>
      <w:r>
        <w:rPr>
          <w:b/>
        </w:rPr>
        <w:t>E. 9</w:t>
      </w:r>
    </w:p>
    <w:p>
      <w:r>
        <w:t>En l’espèce, tout comme dans la cause A/4116/2022 (années 2011 à 2015), le recourant semble ne pas contester la reprise sur les commissions qu’il a prélevées sur des paiements par cartes de crédits, mais uniquement celle sur son chiffre d’affaires de sous-location, soutenant à nouveau que ses comptes initiaux joints à sa déclaration seraient exacts et que ceux découverts par le Ministère public ne refléteraient pas la réalité de ses recettes 2016. Or, ce faisant, il ne fournit aucun élément objectif permettant au tribunal de s’écarter de la solution retenue dans la cause précitée. Il se limite à soutenir encore une fois que les comptes produits en annexe à sa déclaration 2016 seraient exacts, sans toutefois produire des justificatifs attestant des écritures y figurant, de sorte que le principe de justification de chaque enregistrement par une pièce comptable n’est pas respecté. Dans ces conditions, la reprise sur les recettes découlant de la sous-location, que l'AFC-GE a fixée par la différence entre les deux versions de comptes, ne peut être que confirmée. Il sera rappelé que le recourant a signé sa double comptabilité établie en 2017 et que son comptable a déclaré à la police judiciaire que c’était lui-même qui lui avait « dicté » les montants du chiffre d’affaires y figurant. Ainsi, dans la mesure où il n’a pas produit de justificatifs démontrant le caractère exact de sa comptabilité initiale, c’est à bon droit que l'AFC-GE a pris en compte celle de 2017. Pour le surplus, le recourant admet avoir encaissé les commissions non déclarées selon un pourcentage de 8 %, soit celui que l'AFC-GE a retenu pour calculer la reprise litigieuse. Au vu de ce qui précède, les rappels d’impôt doivent être confirmés.</w:t>
      </w:r>
    </w:p>
    <w:p>
      <w:r>
        <w:rPr>
          <w:b/>
        </w:rPr>
        <w:t>E. 10</w:t>
      </w:r>
    </w:p>
    <w:p>
      <w:r>
        <w:t>Le recourant s’oppose également au principe des amendes, soutenant en particulier n’avoir commis aucune faute, sa comptabilité ayant été établie par son mandataire de l’époque. Subsidiairement, leur quotité devait être réduite au minimum légal (un tiers des impôts soustraits), compte tenu des circonstances atténuantes, à savoir en particulier sa méconnaissance de la comptabilité et de la fiscalité, le fait que ses comptes avaient été établis par un spécialiste en matière comptable et fiscale, son absence des antécédents et l’importance du montant qu’il devait à l'AFC-GE (CHF 267'953,30).</w:t>
      </w:r>
    </w:p>
    <w:p>
      <w:r>
        <w:rPr>
          <w:b/>
        </w:rPr>
        <w:t>E. 11</w:t>
      </w:r>
    </w:p>
    <w:p>
      <w:r>
        <w:t>Est notamment puni d'une amende le contribuable qui, intentionnellement ou par négligence, fait en sorte qu'une taxation ne soit pas effectuée, alors qu'elle devrait l'être, ou qu'une taxation entrée en force soit incomplète (art. 69 al. 1 LPFisc et 175 al. 1 LIFD).</w:t>
      </w:r>
    </w:p>
    <w:p>
      <w:r>
        <w:t>Pour que cette infraction soit retenue, il faut qu'il y ait soustraction d'un montant d'impôt, en violation d'une obligation légale incombant au contribuable, une faute</w:t>
      </w:r>
    </w:p>
    <w:p>
      <w:r>
        <w:t>- 10/14 - A/2700/2023 de ce dernier, ainsi qu'un lien de causalité entre le comportement illicite et la perte fiscale subie par la collectivité (arrêts du Tribunal fédéral 2C_553/2018 du 17 juin 2019 consid. 4.2.1 ; 2C_444/2018 du 31 mai 2019 consid. 7 ; 2C_11/2018 du 10 décembre 2018 consid. 10.1 ; 2C_1018/2015 du 2 novembre 2017 consid. 9.2 et les arrêts cités).</w:t>
      </w:r>
    </w:p>
    <w:p>
      <w:r>
        <w:rPr>
          <w:b/>
        </w:rPr>
        <w:t>E. 12</w:t>
      </w:r>
    </w:p>
    <w:p>
      <w:r>
        <w:t>Lorsqu'un contribuable signe sa déclaration fiscale,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w:t>
      </w:r>
    </w:p>
    <w:p>
      <w:r>
        <w:t>Ainsi,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Lorsqu'un contribuable signe sa déclaration fiscale par avance, laissant à la fiduciaire la charge de l'envoyer sans effectuer aucun contrôle, il s'accommode de la réalisation d'une éventuelle infraction fiscale si la déclaration fournie est inexacte. Pour retenir l'intention par dol éventuel, il faut toutefois que le contribuable ait pu reconnaître le caractère erroné de la déclaration fiscale s'il avait agi avec la diligence requise et qu'il ait ainsi été en mesure de la faire corriger. S'agissant de savoir si une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(ATA/1282/2018 du 27 novembre 2018 consid. 4a et la jurisprudence citée).</w:t>
      </w:r>
    </w:p>
    <w:p>
      <w:r>
        <w:rPr>
          <w:b/>
        </w:rPr>
        <w:t>E. 13</w:t>
      </w:r>
    </w:p>
    <w:p>
      <w:r>
        <w:t>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w:t>
      </w:r>
    </w:p>
    <w:p>
      <w:r>
        <w:t>- 11/14 - A/2700/2023 compte des conséquences de son acte. L’imprévoyance est coupable quand le contribuable n’a pas usé des précautions commandées par les circonstances et par sa situation personnelle (arrêt du Tribunal fédéral 2C_78/2019 du 20 septembre 2019 consid. 6.2 ; ATA/222/2019 du 5 mars 2019 consid. 9a). Il n'est toutefois pas aisé de distinguer le dol éventuel de la négligence consciente. Il y a dol éventuel lorsque l'auteur envisage le résultat dommageable, mais agit néanmoins, même s'il ne le souhaite pas, parce qu'il s'en accommode pour le cas où il se produirait.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(arrêt du Tribunal fédéral 2C_81/2022 du 25 novembre 2022 consid. 10.2).</w:t>
      </w:r>
    </w:p>
    <w:p>
      <w:r>
        <w:rPr>
          <w:b/>
        </w:rPr>
        <w:t>E. 14</w:t>
      </w:r>
    </w:p>
    <w:p>
      <w:r>
        <w:t>En règle générale et pour autant que toutes les autres conditions soient remplies, une soustraction est commise dès qu’il y a irrégularité dans la comptabilité (ATF 135 II 86 consid. 3.1 ; arrêts du Tribunal fédéral 2C_508/2014, 2C_509/2014 du 20 février 2015 consid. 5.3.1 ; 2C_907/2012, 2C_908/2012 du 22 mai 2013 consid. 5.2.1).</w:t>
      </w:r>
    </w:p>
    <w:p>
      <w:r>
        <w:rPr>
          <w:b/>
        </w:rPr>
        <w:t>E. 15</w:t>
      </w:r>
    </w:p>
    <w:p>
      <w:r>
        <w:t>En l’espèce, les éléments objectifs d’une soustraction fiscale sont donnés dès lors que la déclaration fiscale 2016 était incomplète et que cela a causé un dommage pour la collectivité, équivalent au montant du rappel d'impôt dont le bien-fondé est confirmé. S’agissant de l'élément subjectif, force est d’admettre que la faute du recourant relève, à tout le moins, du dol éventuel. A cet égard, il sera rappelé que le fait que sa comptabilité et ses déclarations fiscales aient été établies par une fiduciaire n'est pas suffisant pour admettre qu'il aurait pris toutes les précautions nécessaires et que cela ne l'a pas libéré de ses obligations et responsabilités fiscales. En ne contrôlant pas l’exactitude de sa déclaration fiscale établie par son mandataire, il a accepté le risque que sa taxation s’avère insuffisante. Il faut enfin relever que son comptable a indiqué à la police judiciaire qu’il avait « cherché à payer moins d’impôt ». Ainsi, toutes les conditions de la soustraction fiscale sont remplies, si bien que les amendes litigieuses sont justifiées dans leur principe.</w:t>
      </w:r>
    </w:p>
    <w:p>
      <w:r>
        <w:rPr>
          <w:b/>
        </w:rPr>
        <w:t>E. 16</w:t>
      </w:r>
    </w:p>
    <w:p>
      <w:r>
        <w:t>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w:t>
      </w:r>
    </w:p>
    <w:p>
      <w:r>
        <w:t>- 12/14 - A/2700/2023 bilans sur plusieurs exercices (cf. Pietro SANSONETTI/Danielle HOSTETTLER, Commentaire romand, Impôt fédéral direct, 2017, n. 54 ad art. 175).</w:t>
      </w:r>
    </w:p>
    <w:p>
      <w:r>
        <w:t>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w:t>
      </w:r>
    </w:p>
    <w:p>
      <w:r>
        <w:t>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w:t>
      </w:r>
    </w:p>
    <w:p>
      <w:r>
        <w:rPr>
          <w:b/>
        </w:rPr>
        <w:t>E. 17</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w:t>
      </w:r>
    </w:p>
    <w:p>
      <w:r>
        <w:t>Enfin,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(cf. ATF 144 IV 136 consid. 7.3.2).</w:t>
      </w:r>
    </w:p>
    <w:p>
      <w:r>
        <w:rPr>
          <w:b/>
        </w:rPr>
        <w:t>E. 18</w:t>
      </w:r>
    </w:p>
    <w:p>
      <w:r>
        <w:t>En l’espèce, il faut retenir que le recourant a commis une soustraction fiscale consécutivement sur six années, soit depuis 2011 (cf. cause A/4116/2022 le concernant), portant sur des montants de revenu non négligeables. Dans ces conditions, il faut admettre que cette soustraction procède d'une faute grave, qui doit être sanctionnée, conformément à ce que prévoient les art. 175 al. 2 LIFD et 69 al. 2 LPFisc, par une amende supérieure à une fois le montant de l'impôt soustrait. Pourtant, quand bien même elle n’a retenu explicitement aucune circonstance atténuante, l'AFC-GE a fixé la quotité des amendes aux 3/4 des impôts soustraits, nonobstant les circonstances aggravantes, si bien que cette quotité apparait plutôt indulgente. Pour le surplus, il sera rappelé que le recourant ne saurait se prévaloir de sa prétendue méconnaissance du droit fiscal et comptable (cf. not. ATF 126 V 308 consid. 2b). Enfin, le fait qu’il doive verser à l'AFC-GE un montant de CHF 267'953,30 ne saurait être retenu comme une circonstance atténuante dès lors que, selon la jurisprudence précitée, l'importance des montants soustraits n'est pas un critère pouvant jouer en sa faveur.</w:t>
      </w:r>
    </w:p>
    <w:p>
      <w:r>
        <w:t>Dans ces conditions, la quotité retenue par l'AFC-GE ne consacre aucun abus de son pouvoir d'appréciation.</w:t>
      </w:r>
    </w:p>
    <w:p>
      <w:r>
        <w:rPr>
          <w:b/>
        </w:rPr>
        <w:t>E. 19</w:t>
      </w:r>
    </w:p>
    <w:p>
      <w:r>
        <w:t>Le recours, mal fondé, sera rejeté.</w:t>
      </w:r>
    </w:p>
    <w:p>
      <w:r>
        <w:t>- 13/14 - A/2700/2023</w:t>
      </w:r>
    </w:p>
    <w:p>
      <w:r>
        <w:rPr>
          <w:b/>
        </w:rPr>
        <w:t>E. 20</w:t>
      </w:r>
    </w:p>
    <w:p>
      <w:r>
        <w:t>En application des art. 144 al. 1 LIFD, 52 al. 1 LPFisc,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rPr>
          <w:b/>
        </w:rPr>
        <w:t>E. 21</w:t>
      </w:r>
    </w:p>
    <w:p>
      <w:r>
        <w:t>Vu l’issue du litige, aucune indemnité de procédure ne sera allouée (art. 87 al. 2 LPA).</w:t>
      </w:r>
    </w:p>
    <w:p>
      <w:r>
        <w:t>- 14/14 - A/2700/2023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