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JTAPI/1049/2024 vom 28. Oktober 2024</w:t>
      </w:r>
    </w:p>
    <w:p>
      <w:r>
        <w:t>GE Cour de justice, 2024-10-28, FR</w:t>
      </w:r>
    </w:p>
    <w:p>
      <w:r>
        <w:rPr>
          <w:b/>
        </w:rPr>
        <w:t xml:space="preserve">Quelle: </w:t>
      </w:r>
      <w:r>
        <w:t>https://mcp.opencaselaw.ch/entscheid/ge_gerichte_JTAPI_1049_2024</w:t>
      </w:r>
    </w:p>
    <w:p>
      <w:r>
        <w:t>FR: GE_GERICHTE JTAPI/1049/2024 du 28 octobre 2024</w:t>
      </w:r>
    </w:p>
    <w:p>
      <w:r>
        <w:t>IT: GE_GERICHTE JTAPI/1049/2024 del 28 ottobre 2024</w:t>
      </w:r>
    </w:p>
    <w:p>
      <w:pPr>
        <w:pStyle w:val="Heading2"/>
      </w:pPr>
      <w:r>
        <w:t>Erwägungen</w:t>
      </w:r>
    </w:p>
    <w:p>
      <w:r>
        <w:rPr>
          <w:b/>
        </w:rPr>
        <w:t>E. 15</w:t>
      </w:r>
    </w:p>
    <w:p>
      <w:r>
        <w:t>Le commissaire de police a soumis cet ordre de mise en détention au Tribunal administratif de première instance (ci-après : le tribunal) le même jour.</w:t>
      </w:r>
    </w:p>
    <w:p>
      <w:r>
        <w:rPr>
          <w:b/>
        </w:rPr>
        <w:t>E. 16</w:t>
      </w:r>
    </w:p>
    <w:p>
      <w:r>
        <w:t>Selon l'art. 76 al. 1 let. b ch. 1 LEI, en lien avec l'art. 75 al. 1 let. b et h LEI, après notification d'une décision de première instance de renvoi ou d'une décision de première instance d'expulsion au sens des art. 66a ou 66abis CP, l'autorité compétente peut, afin d'en assurer l'exécution, mettre en détention la personne concernée lorsqu’elle quitte la région qui lui est assignée ou pénètre dans une zone qui lui est interdite en vertu de l'art. 74 ou qu’elle a été condamnée pour un crime.</w:t>
      </w:r>
    </w:p>
    <w:p>
      <w:r>
        <w:rPr>
          <w:b/>
        </w:rPr>
        <w:t>E. 17</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18</w:t>
      </w:r>
    </w:p>
    <w:p>
      <w:r>
        <w:t>Ces deux dispositions décrivent toutes deux des comportements permettant de conclure à l'existence d'un risque de fuite ou de disparition, de sorte que les deux éléments doivent être envisagés ensemble (cf. arrêts du Tribunal fédéral</w:t>
      </w:r>
    </w:p>
    <w:p>
      <w:r>
        <w:t>- 8/11 - A/3549/2024 2C_381/2016 du 23 mai 2016 consid. 4.1 ; 2C_128/2009 du 30 mars 2009 consid. 3.1 ; ATA/740/2015 du 16 juillet 2015 ; ATA/943/2014 du 28 novembre 2014 ; ATA/616/2014 du 7 août 2014).</w:t>
      </w:r>
    </w:p>
    <w:p>
      <w:r>
        <w:rPr>
          <w:b/>
        </w:rPr>
        <w:t>E. 19</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w:t>
      </w:r>
    </w:p>
    <w:p>
      <w:r>
        <w:rPr>
          <w:b/>
        </w:rPr>
        <w:t>E. 23</w:t>
      </w:r>
    </w:p>
    <w:p>
      <w:r>
        <w:t>L'assurance de l'exécution du renvoi de l’intéressé à destination de son pays d'origine répond par ailleurs à un intérêt public évident et, compte tenu des éléments énoncés ci-avant, étant relevé qu’il ne démontre pas d’attaches particulières en</w:t>
      </w:r>
    </w:p>
    <w:p>
      <w:r>
        <w:t>- 9/11 - A/3549/2024 Suisse et de moyens de subsistance licites, il est clair qu'aucune autre mesure moins incisive que la détention ne saurait être envisagée pour garantir sa présence jusqu'à l'exécution de son refoulement aux fins duquel la détention est adéquate (cf. not. ATA/672/2016 du 8 août 2016 consid. 7c ; ATA/949/2015 du 18 septembre 2015 consid. 8 ; ATA/846/2015 du 20 août 2015 consid. 8 ; ATA/810/2014 du 28 octobre 2014 consid. 6). La détention respecte par conséquent le principe de la proportionnalité.</w:t>
      </w:r>
    </w:p>
    <w:p>
      <w:r>
        <w:rPr>
          <w:b/>
        </w:rPr>
        <w:t>E. 24</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25</w:t>
      </w:r>
    </w:p>
    <w:p>
      <w:r>
        <w:t>Selon la jurisprudence, le devoir de célérité est en principe violé lorsque, pendant plus de deux mois aucune démarche n’est accomplie en vue de l’exécution du renvoi par les autorités compétentes, sans que cette inaction soit en première ligne causée par le comportement des autorités étrangères ou celui de l’étranger lui-même (ATF 139 I 206 consid. 2.1 et les arrêts cités).</w:t>
      </w:r>
    </w:p>
    <w:p>
      <w:r>
        <w:rPr>
          <w:b/>
        </w:rPr>
        <w:t>E. 26</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27</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28</w:t>
      </w:r>
    </w:p>
    <w:p>
      <w:r>
        <w:t>En l'espèce, l'autorité chargée du renvoi a agi avec diligence et célérité, dès lors qu’elle a écarté la procédure de renvoi Dublin apparaissant relativement plus longue et moins certaine, pour privilégier le renvoi vers le pays d’origine de l’intéressé qu’il préférait au demeurant. Des dispositions pour réserver une place sur un vol ont immédiatement été prises pour permettre le renvoi de l’intéressé dans vers son pays, lequel pourra avoir lieu à la suite de la visite médicale en cours d'organisation.</w:t>
      </w:r>
    </w:p>
    <w:p>
      <w:r>
        <w:rPr>
          <w:b/>
        </w:rPr>
        <w:t>E. 29</w:t>
      </w:r>
    </w:p>
    <w:p>
      <w:r>
        <w:t>La durée totale de détention prévue initialement par l’ordre de mise en détention du 16 octobre 2024 pour une durée de sept semaines, a finalement été réduite par le deuxième ordre de mise en détention du 25 octobre 2024, à une durée de trois semaines, soit jusqu’au 14 novembre 2024 inclus.</w:t>
      </w:r>
    </w:p>
    <w:p>
      <w:r>
        <w:rPr>
          <w:b/>
        </w:rPr>
        <w:t>E. 30</w:t>
      </w:r>
    </w:p>
    <w:p>
      <w:r>
        <w:t>Le principe de célérité est dès lors respecté.</w:t>
      </w:r>
    </w:p>
    <w:p>
      <w:r>
        <w:t>- 10/11 - A/3549/2024</w:t>
      </w:r>
    </w:p>
    <w:p>
      <w:r>
        <w:rPr>
          <w:b/>
        </w:rPr>
        <w:t>E. 31</w:t>
      </w:r>
    </w:p>
    <w:p>
      <w:r>
        <w:t>Enfin, tenant compte de la détention administrative de l’intéressé dès le 16 octobre 2024, la durée maximale légale de la détention administrative est très loin d’être atteinte.</w:t>
      </w:r>
    </w:p>
    <w:p>
      <w:r>
        <w:rPr>
          <w:b/>
        </w:rPr>
        <w:t>E. 32</w:t>
      </w:r>
    </w:p>
    <w:p>
      <w:r>
        <w:t>De plus, les autorités compétentes ont accompli l’ensemble des démarches nécessaires au renvoi sans désemparer dans l’intervalle.</w:t>
      </w:r>
    </w:p>
    <w:p>
      <w:r>
        <w:rPr>
          <w:b/>
        </w:rPr>
        <w:t>E. 33</w:t>
      </w:r>
    </w:p>
    <w:p>
      <w:r>
        <w:t>Dans la mesure où l'autorité doit disposer d'un bref délai supplémentaire en cas d'imprévus pour organiser un autre vol et demander une éventuelle prolongation de détention, une réduction de la détention à une durée d'une semaine ne peut se justifier</w:t>
      </w:r>
    </w:p>
    <w:p>
      <w:r>
        <w:rPr>
          <w:b/>
        </w:rPr>
        <w:t>E. 34</w:t>
      </w:r>
    </w:p>
    <w:p>
      <w:r>
        <w:t>Au vu de ce qui précède, l'ordre de mise en détention administrative émis par le commissaire de police le 16 octobre 2024 à l’encontre de l’intéressé était fondé et n’apparait pas disproportionné, à l'instar de celui du 25 octobre 2024 qui le remplace.</w:t>
      </w:r>
    </w:p>
    <w:p>
      <w:r>
        <w:rPr>
          <w:b/>
        </w:rPr>
        <w:t>E. 35</w:t>
      </w:r>
    </w:p>
    <w:p>
      <w:r>
        <w:t>Au vu de ce qui précède, il y a lieu de confirmer l'ordre de mise en détention administrative de M. A______ pour une durée de trois semaines.</w:t>
      </w:r>
    </w:p>
    <w:p>
      <w:r>
        <w:rPr>
          <w:b/>
        </w:rPr>
        <w:t>E. 36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- 11/11 - A/3549/2024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