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JTAPI/1047/2024 vom 1. Dezember 2021</w:t>
      </w:r>
    </w:p>
    <w:p>
      <w:r>
        <w:t>GE Cour de justice, 2021-12-01, FR</w:t>
      </w:r>
    </w:p>
    <w:p>
      <w:r>
        <w:rPr>
          <w:b/>
        </w:rPr>
        <w:t xml:space="preserve">Quelle: </w:t>
      </w:r>
      <w:r>
        <w:t>https://mcp.opencaselaw.ch/entscheid/ge_gerichte_JTAPI_1047_2024</w:t>
      </w:r>
    </w:p>
    <w:p>
      <w:r>
        <w:t>FR: GE_GERICHTE JTAPI/1047/2024 du 1 décembre 2021</w:t>
      </w:r>
    </w:p>
    <w:p>
      <w:r>
        <w:t>IT: GE_GERICHTE JTAPI/1047/2024 del 1 dicembre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3.3</w:t>
      </w:r>
    </w:p>
    <w:p>
      <w:r>
        <w:t>et la référence citée). 13. Le Tribunal administratif fédéral a déjà eu l’occasion de constater que le Kosovo disposait de structures de soins et des médicaments nécessaires au traitement des maladies tant physiques que psychiques (ATAF 2011/50 consid. 8.8.2). Concernant en particulier les retards de développement, les enfants identifiés (par leurs parents, l'école, ou encore un spécialiste en cas de désaccord entre les parents et l'école) comme ayant des besoins spéciaux étudient dans des classes spéciales attachées à des écoles classiques ou dans des écoles spéciales (OSAR, Kosovo: Betreuung von Kindern mit geistiger Behinderung und motorischer Beeinträchtigung, 17 septembre 2015, p. 7 s. ; UNICEF, Justice Denied: The State of Education of Children with Special Needs in Post-Conflict Kosovo, 2009, p. 44; ATAF E- 2798/2017 du 11 juillet 2017). Des solutions de prise en charge des enfants autistes existent au Kosovo et se développent activement (Les politiques d'éducation pour les étudiants à risque et ceux présentant un handicap; OCDE/2006, ch. 4, p. 167 ss).</w:t>
      </w:r>
    </w:p>
    <w:p>
      <w:r>
        <w:rPr>
          <w:b/>
        </w:rPr>
        <w:t>E. 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Lorsque l'autorité entre en matière sur une demande de reconsidération et la rejette après instruction, il s’agira alors d’une nouvelle décision sur le fond, susceptible de recours. Dans cette hypothèse, le litige a pour objet la décision de reconsidération et non la décision initiale (arrêts du Tribunal fédéral 2D_55/2015 du 9 mai 2016 consid. 3 ; 2C_319/2015 du 10 septembre 2015 consid. 3).</w:t>
      </w:r>
    </w:p>
    <w:p>
      <w:r>
        <w:rPr>
          <w:b/>
        </w:rPr>
        <w:t>E. 5</w:t>
      </w:r>
    </w:p>
    <w:p>
      <w:r>
        <w:t>En l'espèce, à l’appui de leur demande de reconsidération du 19 mars 2024, les recourants ont principalement invoqué l'état de santé de leur fille C______ qui présente un important retard de développement en lien avec un TSA diagnostiqué postérieurement à l'entrée en force des décisions de renvoi, situation qui a été considérée par l'autorité intimée comme constitutive d'un fait nouveau.</w:t>
      </w:r>
    </w:p>
    <w:p>
      <w:r>
        <w:t>- 9/16 - A/2702/2024 L’OCPM étant entré en matière sur cette demande et l’ayant instruite, le présent litige a pour objet cette décision sur demande de reconsidération du 17 juin 2024 et non les décisions initiales des 1er décembre 2021, respectivement 3 décembre 2021.</w:t>
      </w:r>
    </w:p>
    <w:p>
      <w:r>
        <w:rPr>
          <w:b/>
        </w:rPr>
        <w:t>E. 5.2</w:t>
      </w:r>
    </w:p>
    <w:p>
      <w:r>
        <w:t>; 2C_216/2009 du 20 août 2009 consid. 4.2 et les références citées).</w:t>
      </w:r>
    </w:p>
    <w:p>
      <w:r>
        <w:t>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12. Hormis des cas d'extrême gravité, l'état de santé ne peut fonder un droit à une autorisation de séjour sous l'aspect des art. 3 et 8 de la Convention de sauvegarde des droits de l'homme et des libertés fondamentales du 4 novembre 1950 (CEDH - RS 0.101) (cf. arrêt du Tribunal fédéral 2C_891/2016 du 27 septembre 2016 consid.</w:t>
      </w:r>
    </w:p>
    <w:p>
      <w:r>
        <w:rPr>
          <w:b/>
        </w:rPr>
        <w:t>E. 6</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7</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(let. b).</w:t>
      </w:r>
    </w:p>
    <w:p>
      <w:r>
        <w:rPr>
          <w:b/>
        </w:rPr>
        <w:t>E. 8</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rPr>
          <w:b/>
        </w:rPr>
        <w:t>E. 9</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w:t>
      </w:r>
    </w:p>
    <w:p>
      <w:r>
        <w:t>- 10/16 - A/2702/2024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w:t>
      </w:r>
    </w:p>
    <w:p>
      <w:r>
        <w:rPr>
          <w:b/>
        </w:rPr>
        <w:t>E. 11</w:t>
      </w:r>
    </w:p>
    <w:p>
      <w:r>
        <w:t>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donc de savoir si, en cas de retour dans le pays d'origine, les conditions de sa réintégration sociale, au regard de la situation personnelle, professionnelle et familiale de l'intéressé, seraient gravement compromises (ATA/90/2021 précité consid. 3e ; ATA/1162/2020 du 17 novembre 2020</w:t>
      </w:r>
    </w:p>
    <w:p>
      <w:r>
        <w:t>- 11/16 - A/2702/2024 consid. 6b ; arrêts du Tribunal fédéral 2C_621/2015 du 11 décembre 2015 consid. 5.2.1 ; 2C_369/2010 du 4 novembre 2010 consid. 4.1). 10. 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w:t>
      </w:r>
    </w:p>
    <w:p>
      <w:r>
        <w:rPr>
          <w:b/>
        </w:rPr>
        <w:t>E. 14</w:t>
      </w:r>
    </w:p>
    <w:p>
      <w:r>
        <w:t>Dans le cadre de l’exercice de leur pouvoir d’appréciation, les autorités compétentes doivent tenir compte des intérêts publics, de la situation personnelle de l’étranger, ainsi que de son degré d’intégration (art. 96 al. 1 LEI).</w:t>
      </w:r>
    </w:p>
    <w:p>
      <w:r>
        <w:t>- 13/16 - A/2702/2024</w:t>
      </w:r>
    </w:p>
    <w:p>
      <w:r>
        <w:rPr>
          <w:b/>
        </w:rPr>
        <w:t>E. 15</w:t>
      </w:r>
    </w:p>
    <w:p>
      <w:r>
        <w:t>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w:t>
      </w:r>
    </w:p>
    <w:p>
      <w:r>
        <w:rPr>
          <w:b/>
        </w:rPr>
        <w:t>E. 16</w:t>
      </w:r>
    </w:p>
    <w:p>
      <w:r>
        <w:t>En l'espèce, les critères en lien avec l'intégration en Suisse des recourants et leur réintégration dans leur pays d'origine ont d'ores et déjà fait l'objet d'un examen circonstancié dans le cadre des jugements antérieurs. Il n'y sera pas revenu. Seule la question de savoir si l'état de santé de C______ atteinte de TSA est susceptible de conclure à la reconnaissance d'un cas de rigueur sera examinée en tant que cette circonstance nouvelle depuis les jugements précités a conduit l'autorité intimée à entrer en matière sur la demande de reconsidération. Il ressort des pièces produites que cette enfant souffre de troubles complexes du développement. Vue pour la première fois aux HUG, le 25 novembre 2022 dans le contexte d'une évaluation multidisciplinaire du psycho développement, d'importantes difficultés de développement dans le domaine de la communication et des interactions sociales s'inscrivant dans un TSA ont été mises en évidence. Une prise en charge multidiciplinaire a été mise en place : suivi par le service éducatif itinérant L______ à raison de deux fois par semaine, depuis le 28 août 2023, en ergothérapie depuis janvier 2024 et en logopédie depuis avril 2024. La fillette a également intégré une institution spécialisée (M______) à la rentrée scolaire de septembre 2024. Selon ses thérapeutes et en particulier sa pédiatre, une prise en charge au Kosovo serait très difficile, de sorte qu'un retour dans ce pays serait problématique et susceptible d'être préjudiciable pour l'enfant. De son côté, l'OCPM rappelle que des solutions de prise en charge des enfants autistes existent au Kosovo et se développent activement. En particulier, un suivi en logopédie peut être assuré auprès de la Clinique universitaire de E______ (Albanie) (prestation gratuite) ou auprès de logopédistes privés. Des soutiens éducatifs spécialisés sont disponibles à E______ (Albanie) ou auprès de trois ONG. En outre, une scolarisation dans les structures habituelles est prévue pour les enfants avec de légers retards de développement ou d’handicap, étant précisé qu’au Kosovo il existe 70 classes pédagogiques spéciales, lesquelles sont rattachées aux écoles publiques. Ainsi, dès lors qu’il existe au Kosovo des structures scolaires et des soins médicaux destinés à prendre en charge des enfants souffrant d’autisme, la fille des recourants pourra prétendre, dans son pays d’origine, à un traitement essentiel de ses troubles.</w:t>
      </w:r>
    </w:p>
    <w:p>
      <w:r>
        <w:t>- 14/16 - A/2702/2024 Le fait que la prise en charge possible dans le pays d'origine n'atteint pas le standard élevé de ce dont elle bénéficie actuellement en Suisse, n'est pas déterminant et ne justifie pas, comme tel, la poursuite du séjour en Suisse (arrêt du TAF E-5526/2006 du 9 juillet 2009 consid. 7.2). Il n’est par ailleurs pas rendu vraisemblable ni allégué que le fait que l’accès à ceux-ci nécessite que les recourants s’établissent à E______ (Albanie) ou dans les proches environs, dans l'intérêt bien compris de l'enfant, constituerait une condition qui ne pourrait être raisonnablement exigée de leur part. Il n'est pas non plus établi qu'ils ne seront pas en mesure d'assumer différents frais liés à la mise en œuvre des soins nécessaires ce d'autant qu'ils pourront compter sur le soutien de la famille du recourant vivant dans ce pays. Partant, il n’apparaît pas que l'enfant des recourants ne pourrait plus recevoir, une fois au Kosovo, les soins essentiels garantissant ses conditions minimales d'existence. Il ne peut en tout cas pas être retenu que l’état de santé de la fillette se dégraderait très rapidement au point de conduire d'une manière certaine à la mise en danger concrète de sa vie ou à une atteinte sérieuse et durable de son intégrité physique si elle séjournait de manière durable au Kosovo. Au vu de ce qui précède, il faut admettre que l'autorité intimée n'a pas violé la loi ni commis un abus ou un excès de son vaste pouvoir d'appréciation (art. 96 LEI) en considérant le handicap que présente l'enfant des recourants ne permet pas de fonder l'octroi d'une autorisation de séjour pour cas d'extrême gravité, au sens des art. 30 al. 1 let. b LEI et 31 al. 1 let. f OASA.</w:t>
      </w:r>
    </w:p>
    <w:p>
      <w:r>
        <w:rPr>
          <w:b/>
        </w:rPr>
        <w:t>E. 17</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18</w:t>
      </w:r>
    </w:p>
    <w:p>
      <w:r>
        <w:t>En l’espèce, l'intérêt public à mettre un terme à la présence illégale des recourants prévaut en l'espèce sur l'intérêt de ces derniers à poursuivre leur séjour en Suisse. Dans ces conditions, c'est à bon droit également que l’autorité intimée a confirmé le renvoi de Suisse des recourants, ce renvoi étant licite exigible et possible licite et exigible, pour les motifs développés ci-dessus.</w:t>
      </w:r>
    </w:p>
    <w:p>
      <w:r>
        <w:rPr>
          <w:b/>
        </w:rPr>
        <w:t>E. 19</w:t>
      </w:r>
    </w:p>
    <w:p>
      <w:r>
        <w:t>En conclusion, le recours sera rejeté.</w:t>
      </w:r>
    </w:p>
    <w:p>
      <w:r>
        <w:rPr>
          <w:b/>
        </w:rPr>
        <w:t>E. 20</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t>- 15/16 - A/2702/2024</w:t>
      </w:r>
    </w:p>
    <w:p>
      <w:r>
        <w:rPr>
          <w:b/>
        </w:rPr>
        <w:t>E. 21</w:t>
      </w:r>
    </w:p>
    <w:p>
      <w:r>
        <w:t>En vertu des art. 89 al. 2 et 111 al. 2 de la loi sur le Tribunal fédéral du 17 juin 2005 (LTF - RS 173.110), le présent jugement sera communiqué au secrétariat d'État aux migrations.</w:t>
      </w:r>
    </w:p>
    <w:p>
      <w:r>
        <w:t>- 16/16 - A/2702/2024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