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JTAPI/1041/2011 vom 4. Januar 2010</w:t>
      </w:r>
    </w:p>
    <w:p>
      <w:r>
        <w:t>GE Cour de justice, 2010-01-04, FR</w:t>
      </w:r>
    </w:p>
    <w:p>
      <w:r>
        <w:rPr>
          <w:b/>
        </w:rPr>
        <w:t xml:space="preserve">Quelle: </w:t>
      </w:r>
      <w:r>
        <w:t>https://mcp.opencaselaw.ch/entscheid/ge_gerichte_JTAPI_1041_2011</w:t>
      </w:r>
    </w:p>
    <w:p>
      <w:r>
        <w:t>FR: GE_GERICHTE JTAPI/1041/2011 du 4 janvier 2010</w:t>
      </w:r>
    </w:p>
    <w:p>
      <w:r>
        <w:t>IT: GE_GERICHTE JTAPI/1041/2011 del 4 gennaio 2010</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179 al. 1 et 2 de la loi sur les droits d'enregistrement - LDE - D 3 30).</w:t>
      </w:r>
    </w:p>
    <w:p>
      <w:r>
        <w:rPr>
          <w:b/>
        </w:rPr>
        <w:t>E. 2</w:t>
      </w:r>
    </w:p>
    <w:p>
      <w:r>
        <w:t>Interjeté en temps utile et dans les formes prescrites devant la juridiction compétente, le recours est recevable au sens des articles 178 alinéa 7 et 179 alinéas 1 et 2 LDE et 63 et 65 de la loi sur la procédure administrative du 12 septembre 1985 (LPA – E 5 10).</w:t>
      </w:r>
    </w:p>
    <w:p>
      <w:r>
        <w:rPr>
          <w:b/>
        </w:rPr>
        <w:t>E. 3</w:t>
      </w:r>
    </w:p>
    <w:p>
      <w:r>
        <w:t>Le litige porte sur la question de savoir si le transfert de la part de copropriété de l'ex-épouse au recourant, lesquels étaient mariés sous le régime de la séparation de biens, correspond à une vente immobilière soumise à des droits d'enregistrement de 3%, en application de l'article 33 LDE, ou à un partage lors de la liquidation du régime matrimonial, dont les droits s'élèvent à 1‰, conformément à l'article 62 alinéa 1 lettre b LDE.</w:t>
      </w:r>
    </w:p>
    <w:p>
      <w:r>
        <w:t>- 5/9 - A/2299/2010</w:t>
      </w:r>
    </w:p>
    <w:p>
      <w:r>
        <w:rPr>
          <w:b/>
        </w:rPr>
        <w:t>E. 4</w:t>
      </w:r>
    </w:p>
    <w:p>
      <w:r>
        <w:t>Selon l'article 33 alinéas 1 et 2 LDE, relatif au transfert de biens immobiliers, sont soumis obligatoirement au droit de 3%, sous réserve des exceptions prévues par cette loi, tous les actes translatifs à titre onéreux de la propriété, de la nue- 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A teneur de l'article 62 alinéa 1 lettre b LDE, le partage des biens matrimoniaux existant au moment du changement ou de la liquidation du régime matrimonial, que ce partage ait lieu après le décès de l'un des conjoints ou de leur vivant, est soumis obligatoirement à l'enregistrement au droit de 1‰ et au minimum de 10 fr. Selon la doctrine en matière civile, "la séparation de biens est un régime matrimonial réduit à sa plus simple expression, puisqu'il vise à assurer l'autonomie des époux dans la propriété, l'administration, la jouissance et la disposition de leurs biens ainsi que dans la responsabilité de leurs dettes. Ce régime ne produit aucun effet sur le patrimoine des époux. Les règles du droit commun s'appliquent à leurs rapports pécuniaires comme à ceux des personnes non mariées; les époux organisent leurs relations juridiques comme des particuliers quelconques (copropriété, société simple, contrat de travail, mandat, etc.). Il n'y a de participation ni pendant le mariage, ni lors de la dissolution. Il n'est pas nécessaire de procéder à une liquidation du régime matrimonial" (G. PILLER, Commentaire romand, Code civil I, 2010, N° 1 ad Intro. art. 247-251, p. 1502). "La question de savoir s'il y a lieu à liquidation du régime de la séparation de biens est toutefois controversée. Si l'on retient par définition que le régime matrimonial est la conséquence du mariage sur le statut des biens des époux, on en déduira qu'aucune liquidation proprement dite n'est nécessaire puisque chaque époux est demeuré propriétaire de ses biens et titulaire de ses créances et autres droits. [...] A l'issue de la séparation de biens, les restitutions qui peuvent avoir lieu et le règlement des dettes réciproques qui peuvent s'opérer relèvent du droit commun, en application du Code des obligations [...] et des droits réels [...]" (G. PILLER, op. cit., N° 12-13, p. 1505). "Le partage de la copropriété d'un bien acquis par des époux séparés de biens est régi par les règles ordinaires des articles 650 et 651 CC, auxquelles s'ajoute le mode de partage du droit matrimonial de l'article 251 CC" (G. PILLER, op. cit., N° 7 ad art. 251, p. 1517).</w:t>
      </w:r>
    </w:p>
    <w:p>
      <w:r>
        <w:t>- 6/9 - A/2299/2010 L'article 251 CC prévoit que lorsqu'un bien est en copropriété, un époux peut, à la dissolution du régime, demander, en sus des autres mesures prévues par la loi, que ce bien lui soit attribué entièrement s'il justifie d'un intérêt prépondérant, à charge de désintéresser son conjoint. L'article 651 CC dispose quant à lui que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du partage, le juge ordonne le partage en nature et, si la chose ne peut être divisée sans diminution notable de sa valeur, la vente soit aux enchères publiques, soit entre les copropriétaires (al. 2). Dans le cas de partage en nature, l’inégalité des parts peut être compensée par des soultes (al. 3). La notion procédurale de la liquidation du régime matrimonial est cependant plus large. Elle s'étend à toutes les prétentions pécuniaires entre époux, même séparés de biens, nées pendant le mariage, à moins qu'elles ne soient dénuées de tout rapport avec la communauté matrimoniale, telle une prétention résultant d'une responsabilité délictuelle. C'est ainsi qu'elle englobe l'attribution d'un bien en copropriété prévue par l'article 251 CC. Les litiges à l'issue d'un régime de séparation de biens ne sont pas soumis à un tribunal différent de celui qui est compétent pour connaître des contestations relatives à la liquidation de la participation aux acquêts ou de la communauté de biens (G. PILLER, op. cit., N° 14 ad art. 247-251, p. 1505-1506). Il est vrai qu'en vertu du principe de l'autonomie du droit fiscal, la qualification de l'acte ayant donné lieu à la taxation litigieuse ne saurait se faire sous l'angle du droit civil (ATA du 26 novembre 1996 dans la cause R.; ATA du 28 novembre 1990 dans la cause S. et S.-D.). Dans sa jurisprudence, l'ancien Tribunal administratif (remplacé depuis le 1er janvier 2011 par la Chambre administrative de la Cour de Justice) a néanmoins jugé que le régime matrimonial de la séparation de biens excluait sa liquidation lors d'un divorce (ATA du 26 novembre 1996 dans la cause R.). Les juges cantonaux avaient confirmé le bordereau de droits d'enregistrement fondés sur l'article 33 alinéa 2 LDE concernant la cession à l'ex-époux d'un droit d'usufruit sur la maison conjugale, fixée par convention sur les effets accessoires du divorce. Ce même tribunal a également considéré que la cession d'une part de copropriété à titre onéreux - en l'occurrence par la reprise de la dette hypothécaire et le paiement d'une soulte - suite à un jugement de séparation de corps d'époux mariés sous le régime de la séparation de biens, correspondait à une vente taxable selon l'article 33 LDE (ATA du 28 novembre 1990 dans la cause S. et S.-D.).</w:t>
      </w:r>
    </w:p>
    <w:p>
      <w:r>
        <w:t>- 7/9 - A/2299/2010 Par sa part, l'ancienne Commission cantonale de recours en matière d'impôts a estimé, dans le cas d'un couple qui s'était marié sous le régime de la séparation de biens, que la cession d'un immeuble à l'ex-conjoint en paiement d'une indemnité selon l'ancien droit du divorce (art. 151 al. 1 CC) tombait sous le coup de l'article 33 LDE. Dans cette affaire aussi, une convention des ex-époux prévoyant le transfert de l'immeuble de Monsieur à Madame en compensation de la perte du droit à l'entretien avait été homologuée par le juge du divorce (DCCR/176/1995 du 19 octobre 1995). Il résulte de ces jurisprudences que, dans la mesure où la question de l'existence d'une liquidation du régime de la séparation de biens serait encore incertaine en droit civil, cette question a été clairement tranchée sous l'angle du droit fiscal, qui retient le point de vue selon lequel les deux époux séparés de biens doivent être entièrement assimilés à des propriétaires privés en dehors de l'existence d'une convention matrimoniale. En l'espèce, la convention ratifiée par le juge du divorce mentionnait que le contribuable se voyait attribuer la pleine propriété de la maison conjugale de ______ moyennant la reprise de l'intégralité des dettes hypothécaires existantes et le versement à son ex-épouse d'une soulte de 300'000 fr. Conformément à la jurisprudence rappelée ci-dessus, il y a lieu de considérer que le transfert de cet immeuble en faveur du recourant a eu lieu à titre onéreux, par la reprise des dettes hypothécaires et le versement d'une soulte. Au demeurant, celle- ci correspond plutôt au prix de vente payé par le contribuable à son ex-épouse, dans la mesure où la soulte est normalement une compensation pour des biens partagés ou échangés. Par ailleurs, peu importent les termes employés par les ex-joints à l'article 4 de leur convention de divorce, à savoir "liquidation du régime matrimonial", opération qui ne pouvait exister, compte tenu des principes précités relatifs à la séparation de bien. En outre, même si l'on s'écartait de la jurisprudence fiscale susmentionnée en faisant une distinction selon que l'acquisition de cette part de copropriété a lieu en application de l'article 251 CC ou de l'article 651 CC, le recourant a admis qu'il n'avait pas fait usage de l'article 251 CC, puisque les ex-époux s'étaient accordés sur ce transfert de part de copropriété. Enfin, l'ATA/548/2005, dont le recourant ne se prévaut d'ailleurs plus au stade de la présente procédure, ne s'applique pas au cas d'espèce. Il s'agissait en effet d'une situation dans laquelle plusieurs copropriétaires (et propriétaires communs sur certains biens) avaient décidé d'un partage de l'ensemble des biens. Le Tribunal administratif avait été amené à cet égard à préciser la différence entre un échange et un partage. En l'occurrence, l'absence de régime matrimonial à liquider</w:t>
      </w:r>
    </w:p>
    <w:p>
      <w:r>
        <w:t>- 8/9 - A/2299/2010 empêche de considérer que l'on puisse avoir affaire à un partage au sens de l'article 62 LDE. C'est donc à bon droit que l'administration a taxé le transfert de la part de copropriété en application de l'article 33 LDE. Le bordereau de droits d'enregistrement du 23 mars 2010 est dès lors confirmé. Partant, il n'y a pas lieu d'examiner la question de l'application de l'article 66 LDE à titre subsidiaire, ce d'autant plus que le recourant la conteste et que l'administration doute de sa justification.</w:t>
      </w:r>
    </w:p>
    <w:p>
      <w:r>
        <w:rPr>
          <w:b/>
        </w:rPr>
        <w:t>E. 5</w:t>
      </w:r>
    </w:p>
    <w:p>
      <w:r>
        <w:t>Le recours étant rejeté, un émolument de 500 fr. est mis à la charge du recourant en application des articles 87 alinéa 1 LPA et 1 et 2 du règlement genevois sur les frais, émoluments et indemnités en procédure administrative (RFPA – E 5 10.03).</w:t>
      </w:r>
    </w:p>
    <w:p>
      <w:r>
        <w:rPr>
          <w:b/>
        </w:rPr>
        <w:t>E. 6</w:t>
      </w:r>
    </w:p>
    <w:p>
      <w:r>
        <w:t>Le montant de cet émolument est entièrement couvert par l'avance de frais de 500 fr.</w:t>
      </w:r>
    </w:p>
    <w:p>
      <w:r>
        <w:t>- 9/9 - A/2299/2010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