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JTAPI/1040/2022 vom 5. Oktober 2022</w:t>
      </w:r>
    </w:p>
    <w:p>
      <w:r>
        <w:t>GE Cour de justice, 2022-10-05, FR</w:t>
      </w:r>
    </w:p>
    <w:p>
      <w:r>
        <w:rPr>
          <w:b/>
        </w:rPr>
        <w:t xml:space="preserve">Quelle: </w:t>
      </w:r>
      <w:r>
        <w:t>https://mcp.opencaselaw.ch/entscheid/ge_gerichte_JTAPI_1040_2022</w:t>
      </w:r>
    </w:p>
    <w:p>
      <w:r>
        <w:t>FR: GE_GERICHTE JTAPI/1040/2022 du 5 octobre 2022</w:t>
      </w:r>
    </w:p>
    <w:p>
      <w:r>
        <w:t>IT: GE_GERICHTE JTAPI/1040/2022 del 5 ottobre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LCI et de la LDTR (art. 115 al. 2 et 116 al. 1 de la loi sur l’organisation judiciaire du 26 septembre 2010 - LOJ - E 2 05 ; art. 143, 145 al. 1 LCI et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Le juge détermine par conséquent lui-même qu'elle est la norme topique qui régit le rapport juridique et les conséquences à en tirer sans avoir à interpeller les parties. La juridiction pourra ainsi substituer une autre motivation juridique à celle de l'autorité de première instance pour fonder sa motivation (Stéphane GRODECKI/Romain JORDAN, Code annoté de procédure administrative genevoise, 2017, p. 234 n° 880 ad art. 69 LPA et les références citées). S'il ne peut pas aller au-delà des conclusions des parties, il n'est pas lié par les motifs qu'elles invoquent (art. 69 al. 1 LPA ; ATA/386/2018 du 24 avril 2018 consid. 1b ; ATA/117/2016 du 9 février 2016 consid. 2 ; ATA/723/2015 du 14 juillet 2015 consid. 4a). Aussi peut-il admettre le recours pour d'autres motifs que ceux invoqués par le recourant, comme il peut le rejeter en opérant une substitution de motifs (ATF 135 III 397 consid. 1.4 ; arrêts du Tribunal fédéral 2C_540/2013 du 5 décembre 2013</w:t>
      </w:r>
    </w:p>
    <w:p>
      <w:r>
        <w:t>- 10/18 - A/1324/2022 consid. 3 ; 2C_349/2012 du 18 mars 2013 consid. 2.1 ; arrêt du Tribunal administratif fédéral F-1734/2019 du 23 mars 2020 consid. 2).</w:t>
      </w:r>
    </w:p>
    <w:p>
      <w:r>
        <w:rPr>
          <w:b/>
        </w:rPr>
        <w:t>E. 5</w:t>
      </w:r>
    </w:p>
    <w:p>
      <w:r>
        <w:t>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ATA/1400/2019 du 17 septembre 2019 consid. 2b).</w:t>
      </w:r>
    </w:p>
    <w:p>
      <w:r>
        <w:rPr>
          <w:b/>
        </w:rPr>
        <w:t>E. 6</w:t>
      </w:r>
    </w:p>
    <w:p>
      <w:r>
        <w:t>En l'espèce et pour rappel, par décision du 2 février 2022 ayant pour objet « régularisation infraction 1/8______ » et renvoyant aux préavis de l’OCLPF et du SMS en faisant partie intégrante et devant être strictement respectés, le département a délivré à la recourante l’APA 7______. Cette décision est en force. Il s’ensuit que la qualification des travaux, leur assujettissement à autorisation de construire et ses conséquences (notamment fixation du loyer durant trois ans) ne sauraient être remis en cause dans le cadre de la présente procédure. L’objet du recours ne porte ainsi que sur la décision du 18 mars 2022, en tant qu’elle inflige à la recourante une amende de CHF 1'000.-, aux motifs des travaux engagés sans autorisation, et lui ordonne de rétablir une situation conforme au droit en procédant à la réalisation de l'autorisation APA 7______ ainsi que de lui transmettre une AGC accompagnée des plans conformes à exécution, le tout dans un délai de 30 jours.</w:t>
      </w:r>
    </w:p>
    <w:p>
      <w:r>
        <w:rPr>
          <w:b/>
        </w:rPr>
        <w:t>E. 7</w:t>
      </w:r>
    </w:p>
    <w:p>
      <w:r>
        <w:t>Dans un premier grief, la recourante expose que le département lui reproche d’avoir violé la loi en effectuant ses travaux sans autorisation, sans préciser quelle loi aurait été violée. Elle semble ainsi faire valoir une violation de son droit d’être entendu, au motif d’un défaut de motivation de la décision querellée.</w:t>
      </w:r>
    </w:p>
    <w:p>
      <w:r>
        <w:rPr>
          <w:b/>
        </w:rPr>
        <w:t>E. 8</w:t>
      </w:r>
    </w:p>
    <w:p>
      <w:r>
        <w:t>Le droit d'être entendu implique notamment pour l'autorité l'obligation de motiver sa décision. Il ne lui impose cependant pas d'exposer et de discuter tous les faits, moyens de preuve et griefs invoqués par les parties. Elle peut, au contraire, se limiter à ceux qui, sans arbitraire, lui paraissent pertinents. Une motivation est suffisante lorsque le destinataire de la décision est en mesure de se rendre compte de la portée de cette dernière, d'en comprendre les raisons et de la déférer à l'instance supérieure en connaissance de cause. Dès lors que l'on peut discerner les motifs qui ont guidé la décision de l'autorité, le droit à une décision motivée est respecté. La motivation peut pour le reste être implicite et résulter des différents considérants de la décision (ATF 141 IV 249 consid. 1.3.1 ; arrêt du Tribunal fédéral 9C_701/2018 du 27 novembre 2018 consid. 5.2 et les références citées).</w:t>
      </w:r>
    </w:p>
    <w:p>
      <w:r>
        <w:rPr>
          <w:b/>
        </w:rPr>
        <w:t>E. 9</w:t>
      </w:r>
    </w:p>
    <w:p>
      <w:r>
        <w:t>La réparation d'un vice de procédure en instance de recours et, notamment, du droit d'être entendu, n'est possible que lorsque l'autorité dispose du même pouvoir</w:t>
      </w:r>
    </w:p>
    <w:p>
      <w:r>
        <w:t>- 11/18 - A/1324/2022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rPr>
          <w:b/>
        </w:rPr>
        <w:t>E. 10</w:t>
      </w:r>
    </w:p>
    <w:p>
      <w:r>
        <w:t>En l’espèce, s’agissant de la motivation de la décision querellée, cette dernière n’indique effectivement pas quelles dispositions légales auraient été violées par la recourante. Il ressort toutefois clairement de cette dernière que l’amende est prononcée en application de l’art. 137 LCI et qu’elle sanctionne le fait d’avoir engagé des travaux sans autorisation, ce qui avait donné lieu à l’ouverture de la procédure I-8______. Au demeurant, dans son recours, la recourante s’est, à juste titre référée à l’art. 1 LCI ainsi qu’à d’autres dispositions de cette loi, de son règlement d’application et de la LDTR (art. 7 LCI, 33 RCI, 3 al. 1 let. d LDTR), au sujet desquelles elle a pu faire valoir tous ses arguments. L'autorité intimée s'est expliquée plus en détails dans ses observations du 1er juin 2022, puis dans sa duplique du 30 juin 2022, et la recourante a eu l’occasion de se déterminer à cet égard. Dans ces circonstances, force est de constater que l’éventuel défaut de motivation a pu être réparé devant le tribunal de céans. Partant, le grief sera écarté.</w:t>
      </w:r>
    </w:p>
    <w:p>
      <w:r>
        <w:rPr>
          <w:b/>
        </w:rPr>
        <w:t>E. 11</w:t>
      </w:r>
    </w:p>
    <w:p>
      <w:r>
        <w:t>Selon l'art. 1 al. 1 LCI, sur tout le territoire du canton nul ne peut, sans y avoir été autorisé : modifier même partiellement le volume, l'architecture, la couleur, l'implantation, la distribution ou la destination d'une construction ou d'une installation (let. b). Aucun travail ne doit être entrepris avant que l'autorisation n'ait été délivrée (art. 1 al. 7 1ère phrase LCI).</w:t>
      </w:r>
    </w:p>
    <w:p>
      <w:r>
        <w:rPr>
          <w:b/>
        </w:rPr>
        <w:t>E. 12</w:t>
      </w:r>
    </w:p>
    <w:p>
      <w:r>
        <w:t>A teneur de l’art. 4 LCI, le délai de réponse à toute demande d’autorisation est de 60 jours à compter de la date d’enregistrement de la demande. Dans le cadre d'une autorisation en procédure accélérée, le délai de réponse est de 30 jours (al. 1). Lorsque le département demande des pièces ou renseignements complémentaires nécessaires, le délai est suspendu jusqu’à réception des documents. Le requérant en est avisé par écrit (al. 3). Si le requérant n’a pas reçu de réponse dans le délai, il peut aviser le département, par lettre recommandée, qu’il va procéder à l’exécution de ses plans. A défaut de notification de la décision dans un nouveau</w:t>
      </w:r>
    </w:p>
    <w:p>
      <w:r>
        <w:t>- 12/18 - A/1324/2022 délai de 10 jours à compter de la réception de cet avis, le requérant est en droit de commencer les travaux (al. 4).</w:t>
      </w:r>
    </w:p>
    <w:p>
      <w:r>
        <w:rPr>
          <w:b/>
        </w:rPr>
        <w:t>E. 13</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consid. 2.2 ; 9C_115/2007 du 22 janvier 2008 consid. 4.2 ; ATA/700/2014 précité consid. 4a ; ATA/141/2012 du 13 mars 2012 consid. 4 ; Thierry TANQUEREL, op. cit., p. 193 n. 568).</w:t>
      </w:r>
    </w:p>
    <w:p>
      <w:r>
        <w:rPr>
          <w:b/>
        </w:rPr>
        <w:t>E. 14</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193 s n. 571).</w:t>
      </w:r>
    </w:p>
    <w:p>
      <w:r>
        <w:rPr>
          <w:b/>
        </w:rPr>
        <w:t>E. 15</w:t>
      </w:r>
    </w:p>
    <w:p>
      <w:r>
        <w:t>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(ATA/700/2014 précité consid. 4c ; ATA/811/2012 du 27 novembre 2012 consid. 2a ; ATA/398/2012 du 26 juin 2012</w:t>
      </w:r>
    </w:p>
    <w:p>
      <w:r>
        <w:t>- 13/18 - A/1324/2022 consid. 8 ; Pierre MOOR/Alexandre FLÜCKIGER/Vincent MARTENET, Droit administratif, Vol. 1, 3ème éd., 2012, p. 922 ss n. 6.4.1.2 et 6.4.2.1 ; Thierry TANQUEREL, op. cit., p. 196 s n. 578 s ; Ulrich HÄFELIN/Georg MÜLLER/Felix UHLMANN, Allgemeines Verwaltungsrecht, 6ème éd., 2010, p. 140 ss et p. 157 n. 696 ; Andreas AUER/Giorgio MALINVERNI/Michel HOTTELIER, Droit constitutionnel suisse, vol. 2, 3ème éd., 2013, n. 1'173 ss).</w:t>
      </w:r>
    </w:p>
    <w:p>
      <w:r>
        <w:rPr>
          <w:b/>
        </w:rPr>
        <w:t>E. 16</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17</w:t>
      </w:r>
    </w:p>
    <w:p>
      <w:r>
        <w:t>Aux termes de l'art. 137 LCI est passible d'une amende administrative de CHF 100.- à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 La poursuite et la sanction administrative se prescrivent par sept ans (al. 5).</w:t>
      </w:r>
    </w:p>
    <w:p>
      <w:r>
        <w:rPr>
          <w:b/>
        </w:rPr>
        <w:t>E. 18</w:t>
      </w:r>
    </w:p>
    <w:p>
      <w:r>
        <w:t>Selon l'art. 44 LDTR, celui qui contrevient aux dispositions de la LDTR est passible des mesures et sanctions administratives prévues par les art. 129 à 139 LCI, sous réserve des peines plus élevées prévues par le Code pénal suisse du</w:t>
      </w:r>
    </w:p>
    <w:p>
      <w:r>
        <w:rPr>
          <w:b/>
        </w:rPr>
        <w:t>E. 21</w:t>
      </w:r>
    </w:p>
    <w:p>
      <w:r>
        <w:t>Il est ainsi en particulier nécessaire que le contrevenant ait commis une faute, fût- ce sous la forme d'une simple négligence (ATA/559/2021 du 25 mai 2021 consid. 7d ; ATA/13/2020 du 7 janvier 2020 consid. 7c ; ATA/1828/2019 du 17 décembre 2019 consid. 13c ; ATA/1277/2018 du 27 novembre 2018 consid. 6c).</w:t>
      </w:r>
    </w:p>
    <w:p>
      <w:r>
        <w:rPr>
          <w:b/>
        </w:rPr>
        <w:t>E. 22</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(ATF 141 IV 61 consid. 6.1.1 ; 136 IV 55 ; 134 IV 17 consid. 2.1 ; 129 IV 6 consid. 6.1 ; arrêts du Tribunal fédéral 6B_28/2016 du 10 octobre 2016 consid. 5.1 ; 6B_1276/2015 du 29 juin 2016 consid. 2.1 ; ATA/559/2021 du 25 mai 2021 consid. 7e) et ses capacités financières (ATA/719/2012 du 30 octobre 2012 consid. 20 et les références citées).</w:t>
      </w:r>
    </w:p>
    <w:p>
      <w:r>
        <w:rPr>
          <w:b/>
        </w:rPr>
        <w:t>E. 23</w:t>
      </w:r>
    </w:p>
    <w:p>
      <w:r>
        <w:t>S'agissant de la quotité de l'amende, la jurisprudence de la chambre administrative de la Cour de justice (ci-après: la chambre administrative) précise que le département jouit d'un large pouvoir d'appréciation pour en fixer le montant et n'est censuré qu'en cas d'excès. Sont pris en considération la nature, la gravité et la fréquence des infractions commises dans le respect du principe de la proportionnalité (ATA/13/2020 précité consid. 7d ; ATA/19/2018 du 9 janvier 2018 consid. 9d confirmé par arrêt du Tribunal fédéral 1C_80/2018 du 23 mai 2019 ; ATA/558/2013 du 27 août 2013 consid. 18).</w:t>
      </w:r>
    </w:p>
    <w:p>
      <w:r>
        <w:rPr>
          <w:b/>
        </w:rPr>
        <w:t>E. 24</w:t>
      </w:r>
    </w:p>
    <w:p>
      <w:r>
        <w:t>En outre, l'administration doit faire preuve de sévérité, afin d'assurer le respect de la loi, et jouit d'un large pouvoir d'appréciation pour infliger une amende, le juge ne la censurant qu'en cas d'excès (ATA/559/2021 du 25 mai 2021 consid. 7d ; ATA/147/2021 du 9 février 2021 consid. 4d et e ; ATA/403/2019 du 9 avril 2019 consid. 7c ; ATA/1277/2018 du 27 novembre 2018 consid. 6d).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(ATF 136 IV 55 consid. 5.6 ; 135 IV 130 consid. 5.3.1 ;</w:t>
      </w:r>
    </w:p>
    <w:p>
      <w:r>
        <w:t>- 15/18 - A/1324/2022 134 IV 17 consid. 2.1 ; 129 IV 6 consid. 6.1 et les références citées ; arrêts du Tribunal fédéral 6B_28/2016 du 10 octobre 2016 consid. 5.1 ; 6B_1276/2015 du</w:t>
      </w:r>
    </w:p>
    <w:p>
      <w:r>
        <w:rPr>
          <w:b/>
        </w:rPr>
        <w:t>E. 29</w:t>
      </w:r>
    </w:p>
    <w:p>
      <w:r>
        <w:t>L’art. 7 al. 2 et 3 LCI précise encore que l’attestation certifie que les constructions ou installations sont conformes à l’autorisation de construire, aux conditions de celle-ci, ainsi qu’aux lois et règlements applicables au moment d’entrée en force de l’autorisation de construire. Suivant la nature du dossier et si le mandataire ou le requérant l’estime nécessaire, l’un ou l’autre peut joindre à sa propre attestation celles des autres mandataires spécialisés intervenus dans le cadre de la réalisation des travaux et/ou l’attestation du propriétaire selon laquelle il n’a sollicité aucune réalisation contraire à la loi.</w:t>
      </w:r>
    </w:p>
    <w:p>
      <w:r>
        <w:rPr>
          <w:b/>
        </w:rPr>
        <w:t>E. 30</w:t>
      </w:r>
    </w:p>
    <w:p>
      <w:r>
        <w:t>Selon l’art. 37 RCI, l’attestation prévue par l’art. 7 al. 1 et 2 de la loi doit être adressée au département sur formule délivrée par celui-ci (al. 1) et le département peut accepter des attestations partielles pour des parties de constructions ou d’installations achevées (al. 2).</w:t>
      </w:r>
    </w:p>
    <w:p>
      <w:r>
        <w:rPr>
          <w:b/>
        </w:rPr>
        <w:t>E. 31</w:t>
      </w:r>
    </w:p>
    <w:p>
      <w:r>
        <w:t>En l’espèce, le département ne semble pas contester que les travaux entrepris sont conformes à l’APA 7______. Cela étant, c’est précisément ce que lui permettront de vérifier l’AGC et les plans conformes requis. A cet égard, la teneur de l’art. 7 al. 1 LCI est claire et sans la moindre équivoque. Une construction modifiée destinée à l’habitation - ce qui est à l’évidence le cas de l’appartement dont la rénovation a fait l’objet de l’APA 7______ - ne peut être occupée ou utilisée à un autre titre que suite au dépôt au département d’un dossier de plans conformes à l’exécution et d’une attestation de conformité établie par un MPQ. Dans ces conditions, le département était en droit, voire même avait le devoir, d’ordonner le respect des exigences posées par l’art. 7 al. 1 LCI, soit la remise de l’AGC et des plans conformes à l'exécution, pour contrôler, entre autres, que la construction ou l’installation en cause avait bien été réalisée conformément au projet et qu’elle respectait ainsi les prescriptions relatives aux différentes</w:t>
      </w:r>
    </w:p>
    <w:p>
      <w:r>
        <w:t>- 17/18 - A/1324/2022 politiques publiques. À défaut de tels documents, le département ne peut s’assurer du respect des normes topiques. Sur ce point également, la décision querellée apparait dès lors parfaitement fondée et légitime. Partant, le grief doit être écarté.</w:t>
      </w:r>
    </w:p>
    <w:p>
      <w:r>
        <w:rPr>
          <w:b/>
        </w:rPr>
        <w:t>E. 32</w:t>
      </w:r>
    </w:p>
    <w:p>
      <w:r>
        <w:t>Entièrement mal fondé, le recours est rejeté.</w:t>
      </w:r>
    </w:p>
    <w:p>
      <w:r>
        <w:rPr>
          <w:b/>
        </w:rPr>
        <w:t>E. 33</w:t>
      </w:r>
    </w:p>
    <w:p>
      <w:r>
        <w:t>En application des art. 87 al. 1 LPA et 1 et 2 du règlement sur les frais, émoluments et indemnités en procédure administrative du 30 juillet 1986 (RFPA - E 5 10.03), la recourante, qui succombe, est condamnée au paiement d'un émolument s'élevant à CHF 750.- ; il est partiellement couvert par l'avance de frais versée à la suite du dépôt du recours.</w:t>
      </w:r>
    </w:p>
    <w:p>
      <w:r>
        <w:rPr>
          <w:b/>
        </w:rPr>
        <w:t>E. 34</w:t>
      </w:r>
    </w:p>
    <w:p>
      <w:r>
        <w:t>Vu l'issue du litige, aucune indemnité de procédure ne sera allouée (art. 87 al. 2 LPA).</w:t>
      </w:r>
    </w:p>
    <w:p>
      <w:r>
        <w:t>- 18/18 - A/1324/2022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