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JTAPI/103/2025 vom 30. Januar 2025</w:t>
      </w:r>
    </w:p>
    <w:p>
      <w:r>
        <w:t>GE Cour de justice, 2025-01-30, FR</w:t>
      </w:r>
    </w:p>
    <w:p>
      <w:r>
        <w:rPr>
          <w:b/>
        </w:rPr>
        <w:t xml:space="preserve">Quelle: </w:t>
      </w:r>
      <w:r>
        <w:t>https://mcp.opencaselaw.ch/entscheid/ge_gerichte_JTAPI_103_2025</w:t>
      </w:r>
    </w:p>
    <w:p>
      <w:r>
        <w:t>FR: GE_GERICHTE JTAPI/103/2025 du 30 janvier 2025</w:t>
      </w:r>
    </w:p>
    <w:p>
      <w:r>
        <w:t>IT: GE_GERICHTE JTAPI/103/2025 del 30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 Il sera relevé en particulier que les recourants sont des voisins immédiats de la parcelle visée par l'autorisation litigieuse et qu’ils font valoir des griefs liés au droit de la construction (cf. ATF 133 II 249 consid. 1.3.1 ; 139 II 499 consid. 2.2 ; arrêts du Tribunal fédéral 1C_206/2019 du 6 août 2019 consid. 3.1 ; 1C_382/2017 du 16 mai 2018 consid. 1.2.1). La qualité pour recourir doit ainsi leur être reconnue au sens de l'art. 60 let. b LPA.</w:t>
      </w:r>
    </w:p>
    <w:p>
      <w:r>
        <w:rPr>
          <w:b/>
        </w:rPr>
        <w:t>E. 3</w:t>
      </w:r>
    </w:p>
    <w:p>
      <w:r>
        <w:t>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w:t>
      </w:r>
    </w:p>
    <w:p>
      <w:r>
        <w:rPr>
          <w:b/>
        </w:rPr>
        <w:t>E. 4</w:t>
      </w:r>
    </w:p>
    <w:p>
      <w:r>
        <w:t>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w:t>
      </w:r>
    </w:p>
    <w:p>
      <w:r>
        <w:t>- 14/25 - A/2987/2023 invoqué (ATA/17/2023 du 10 janvier 2023 consid. 11d ; ATA/881/2022 du 30 août 2022 consid. 3d).</w:t>
      </w:r>
    </w:p>
    <w:p>
      <w:r>
        <w:rPr>
          <w:b/>
        </w:rPr>
        <w:t>E. 5</w:t>
      </w:r>
    </w:p>
    <w:p>
      <w:r>
        <w:t>La question de la recevabilité de certains des griefs soulevés par les recourants sera examinée ci-après.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7</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w:t>
      </w:r>
    </w:p>
    <w:p>
      <w:r>
        <w:rPr>
          <w:b/>
        </w:rPr>
        <w:t>E. 8</w:t>
      </w:r>
    </w:p>
    <w:p>
      <w:r>
        <w:t>A titre préalable, les recourants ont sollicité des mesures d’instruction, soit leur audition lors d’un transport sur place. Au stade de la duplique, ils ont par ailleurs formellement conclu à ce que le tribunal ordonne une expertise judiciaire.</w:t>
      </w:r>
    </w:p>
    <w:p>
      <w:r>
        <w:rPr>
          <w:b/>
        </w:rPr>
        <w:t>E. 9</w:t>
      </w:r>
    </w:p>
    <w:p>
      <w:r>
        <w:t>Des conclusions en mesures d’instruction peuvent être sollicitées même après l'échéance du délai de recours et jusqu'à la fin de l'instruction du recours (ATA/930/2023 du 29 août 2023, consid. 1.3 ; Stéphane GRODECKI/Romain JORDAN, Code annoté de procédure administrative genevoise, 2017, p. 232 n. 872). Les requêtes en actes d’instruction des recourants sont donc recevables.</w:t>
      </w:r>
    </w:p>
    <w:p>
      <w:r>
        <w:rPr>
          <w:b/>
        </w:rPr>
        <w:t>E. 10</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11</w:t>
      </w:r>
    </w:p>
    <w:p>
      <w:r>
        <w:t>Toutefois, le juge peut renoncer à l’administration de certaines preuves offertes, lorsque le fait dont les parties veulent rapporter l’authenticité n’est pas important pour la solution du cas, lorsque les preuves résultent déjà de constatations versées</w:t>
      </w:r>
    </w:p>
    <w:p>
      <w:r>
        <w:t>- 15/25 - A/2987/2023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9C_68/2023 du 2 avril 2024 consid. 5.2.1 ; 1C_662/2023 du 2 avril 2024 consid. 2.1.1). L’avis d’un ingénieur civil mandaté par une partie recourante ne constitue qu’un simple allégué de partie (ATF 142 II 355 consid. 6 ; arrêt du Tribunal fédéral 1C_507/2022 du 13 juin 2022 consid. 3.2) et ne saurait, à lui seul, rendre insoutenable l’appréciation des preuves opérée par l’instance spécialisée. Enfin, le droit d’être entendu ne comprend pas le droit d’être entendu oralement ni celui d’entendre des témoins (ATF 145 I 167 consid. 4.1 ; arrêt du Tribunal fédéral 8C_392/2022 du 26 octobre 2022 consid. 4.2 ; ATA/1021/2024 du 27 octobre 2024 consid. 4.1 ; ATA/1327/2024 du 12 novembre 2024, consid. 2.1) ni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w:t>
      </w:r>
    </w:p>
    <w:p>
      <w:r>
        <w:rPr>
          <w:b/>
        </w:rPr>
        <w:t>E. 12</w:t>
      </w:r>
    </w:p>
    <w:p>
      <w:r>
        <w:t>En l’espèce, le tribunal considère disposer d’un dossier complet lui permettant de trancher le présent litige en toute connaissance de cause, étant noté que le projet litigieux a été soumis à l’examen minutieux du SABRA, en sa qualité d’instance spécialisée, qui a rendu un préavis favorable le 24 mars 2023. Certes, lors de la délivrance de l’autorisation litigieuse, le SABRA ne s’était pas prononcé sur le deuxième formulaire Cercle-bruit du 13 juin 2023. Cependant, à teneur du dossier, il en a pris connaissance dans l’intervalle et a confirmé sa position favorable au projet. La manière de procéder et les conclusions du SABRA ont par ailleurs été expliquées de manière détaillée par le département dans ses écritures, en particulier sa duplique du 18 juillet 2024. Dans ces circonstances, procédant à une appréciation anticipée des preuves, le tribunal considère qu’une expertise judiciaire ne serait pas de nature à influer sur l’issue du litige. S’agissant de la demande d’audition des recourants lors d’un transport sur place, le tribunal relève que les parties ont eu l’occasion de s’exprimer par écrit, d’exposer leur point de vue et de produire toutes les pièces qu’elles estimaient utiles à l’appui de leurs allégués par le biais des écritures usuelles. De plus, les plans, les photographies et les documents versés au dossier ainsi que la consultation des données librement accessibles sur la plateforme du système d'information du territoire genevois (ci-après: SITG) permettent de visualiser le projet litigieux. Dès lors qu’un transport sur place aurait pour objet les mêmes éléments, cette mesure d’instruction ne fournirait pas d’informations pertinentes supplémentaires, étant souligné que, comme expliqué par les recourants, les ventilateurs s’enclenchent de manière inopinée en fonction de différents moments de la journée et qu’il serait dès</w:t>
      </w:r>
    </w:p>
    <w:p>
      <w:r>
        <w:t>- 16/25 - A/2987/2023 lors impossible pour le tribunal de pouvoir constater in situ toutes les différentes variations de bruit de l’installation contestée. Enfin, le tribunal ne dispose manifestement pas des compétences techniques pour mesurer précisément le niveau des émissions sonores émises par l’installation contestée. En conséquence, les mesures d’instruction requises, non obligatoires, seront rejetées.</w:t>
      </w:r>
    </w:p>
    <w:p>
      <w:r>
        <w:rPr>
          <w:b/>
        </w:rPr>
        <w:t>E. 13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15</w:t>
      </w:r>
    </w:p>
    <w:p>
      <w:r>
        <w:t>En l’occurrence, la décision attaquée porte sur l’autorisation de construire complémentaires DD 4______/2 délivrée par le département à M. C______ en vue de régulariser des réaménagements intérieurs et l’installation d’un compresseur avec ventilateurs en façade. A teneur du recours, seule cette installation est contestée.</w:t>
      </w:r>
    </w:p>
    <w:p>
      <w:r>
        <w:rPr>
          <w:b/>
        </w:rPr>
        <w:t>E. 16</w:t>
      </w:r>
    </w:p>
    <w:p>
      <w:r>
        <w:t>Dans un premier grief, les recourants font valoir que la régularisation de cette installation violerait les prescriptions légales en matière de protection contre le bruit, dans la mesure où les valeurs de planification (VP) seraient dépassées.</w:t>
      </w:r>
    </w:p>
    <w:p>
      <w:r>
        <w:rPr>
          <w:b/>
        </w:rPr>
        <w:t>E. 17</w:t>
      </w:r>
    </w:p>
    <w:p>
      <w:r>
        <w:t>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w:t>
      </w:r>
    </w:p>
    <w:p>
      <w:r>
        <w:rPr>
          <w:b/>
        </w:rPr>
        <w:t>E. 18</w:t>
      </w:r>
    </w:p>
    <w:p>
      <w:r>
        <w:t>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w:t>
      </w:r>
    </w:p>
    <w:p>
      <w:r>
        <w:t>- 17/25 - A/2987/2023 le bruit, les vibrations et les rayons sont dénommés émissions au sortir des installations, immissions au lieu de leur effet (art. 7 al. 2 LPE).</w:t>
      </w:r>
    </w:p>
    <w:p>
      <w:r>
        <w:rPr>
          <w:b/>
        </w:rPr>
        <w:t>E. 19</w:t>
      </w:r>
    </w:p>
    <w:p>
      <w:r>
        <w:t>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rPr>
          <w:b/>
        </w:rPr>
        <w:t>E. 20</w:t>
      </w:r>
    </w:p>
    <w:p>
      <w:r>
        <w:t>Selon l'art. 12 LPE, les émissions sont notamment limitées par l'application des valeurs limites d'émissions (al. 1 let. a). Les limitations figurent dans des ordonnances ou, pour les cas que celles-ci n'ont pas visés, dans des décisions fondées directement sur la LPE (al. 2). Des mesures de protection au sens de l'art. 12 al. 2 LPE ne doivent pas seulement être ordonnées lorsque les atteintes à l'environnement deviennent dommageables ou incommodantes, mais il faut, au contraire, en vertu du principe de prévention, éviter déjà toutes les émissions inutiles (ATF 126 II 366 ; 119 Ib 179 consid. 2 ; 115 Ib 446 consid. 3d ; 113 Ib 393 consid. 3). Il ne s'agit cependant pas d'en conclure que chaque bruit qui ne serait pas absolument nécessaire devrait être totalement interdit. Il n'existe pas de droit absolu à la tranquillité, des nuisances minimes (de peu d'importance) devant au contraire être tolérées (art. 15 LPE ; ATF 126 II 366 ; 123 II 325 consid. 4d/bb ; arrêt du Tribunal fédéral du 18 mars 1998, in DEP 1998, p. 529 consid. 5b/c ; C. ZÄCH / R. WOLF, Kommentar zum Umweltschutzgesetz, 2000, n° 13 ad art. 15).</w:t>
      </w:r>
    </w:p>
    <w:p>
      <w:r>
        <w:rPr>
          <w:b/>
        </w:rPr>
        <w:t>E. 21</w:t>
      </w:r>
    </w:p>
    <w:p>
      <w:r>
        <w:t>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22</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23</w:t>
      </w:r>
    </w:p>
    <w:p>
      <w:r>
        <w:t>Selon l’art. 2 al. 1 OPB, les installations fixes sont les constructions, les infrastructures destinées au trafic, les équipements des bâtiments et les autres installations non mobiles dont l’exploitation produit du bruit extérieur. En font</w:t>
      </w:r>
    </w:p>
    <w:p>
      <w:r>
        <w:t>- 18/25 - A/2987/2023 notamment partie les routes, les installations ferroviaires, les aérodromes, les installations de l’industrie, des arts et métiers et de l’agriculture, les installations de tir ainsi que les places permanentes de tir et d’exercice militaires.</w:t>
      </w:r>
    </w:p>
    <w:p>
      <w:r>
        <w:rPr>
          <w:b/>
        </w:rPr>
        <w:t>E. 24</w:t>
      </w:r>
    </w:p>
    <w:p>
      <w:r>
        <w:t>A teneur de l’art. 31 al. 1 OPB,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 ou des mesures de construction ou d’aménagement susceptibles de protéger le bâtiment contre le bruit (let. b).</w:t>
      </w:r>
    </w:p>
    <w:p>
      <w:r>
        <w:rPr>
          <w:b/>
        </w:rPr>
        <w:t>E. 25</w:t>
      </w:r>
    </w:p>
    <w:p>
      <w:r>
        <w:t>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w:t>
      </w:r>
    </w:p>
    <w:p>
      <w:r>
        <w:rPr>
          <w:b/>
        </w:rPr>
        <w:t>E. 26</w:t>
      </w:r>
    </w:p>
    <w:p>
      <w:r>
        <w:t>Selon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w:t>
      </w:r>
    </w:p>
    <w:p>
      <w:r>
        <w:rPr>
          <w:b/>
        </w:rPr>
        <w:t>E. 27</w:t>
      </w:r>
    </w:p>
    <w:p>
      <w:r>
        <w:t>A teneur du document « Aide à l'exécution pour l'évaluation du bruit des pompes à chaleur (PAC) », produit par le département et figurant au dossier, le niveau d’évaluation Lr doit être déterminé au milieu de la fenêtre du local sensible au bruit le plus exposé (p.3). La valeur limite d’exposition est la valeur de planification de l’Annexe 6 de l’OPB et dépend du degré de sensibilité DS de la parcelle où se situe le local le plus exposé. En relation avec l’art. 11 al. 3 LPE (p. 5), si l’installation ne se trouve pas dans un secteur exposé au bruit, il faut vérifier que son niveau sonore n’émerge pas des valeurs du bruit environnemental proposé par le SABRA : pour une villa non exposée au bruit, le niveau de bruit de fond L90, jour est de 35 dB(A) et celui de L90, nuit de 30dB(A).</w:t>
      </w:r>
    </w:p>
    <w:p>
      <w:r>
        <w:rPr>
          <w:b/>
        </w:rPr>
        <w:t>E. 28</w:t>
      </w:r>
    </w:p>
    <w:p>
      <w:r>
        <w:t>L’art. 43 al. 1 let c. OPB dispose que le degré de sensibilité III est applicable dans les zones où sont admises des entreprises moyennement gênantes, notamment dans les zones d’habitation et artisanales (zones mixtes) ainsi que dans les zones agricoles. A teneur de l’art. 2 Annexe 6 de l’OPB (relative aux valeurs limites d’exposition au bruit de l’industrie et des arts et métiers), les valeurs de planification Lr à respecter pour une zone située en degré de sensibilité III, sont de 60 dB (A) le jour et de 50 dB (A) la nuit. Quant à la valeur limite d’immission, elle est fixée à Lr 65 dB (A) de jour et de Lr 55 dB (A) de nuit.</w:t>
      </w:r>
    </w:p>
    <w:p>
      <w:r>
        <w:rPr>
          <w:b/>
        </w:rPr>
        <w:t>E. 29</w:t>
      </w:r>
    </w:p>
    <w:p>
      <w:r>
        <w:t>Dans le système de la LCI, les avis ou préavis des communes, des départements et organismes intéressés ne lient pas les autorités (art. 3 al. 3 LCI). Ils n’ont qu’un</w:t>
      </w:r>
    </w:p>
    <w:p>
      <w:r>
        <w:t>- 19/25 - A/2987/2023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30</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w:t>
      </w:r>
    </w:p>
    <w:p>
      <w:r>
        <w:rPr>
          <w:b/>
        </w:rPr>
        <w:t>E. 31</w:t>
      </w:r>
    </w:p>
    <w:p>
      <w:r>
        <w:t>En l’espèce, il n’est pas contesté que le compresseur litigieux est une installation fixe et que, s’agissant de la zone agricole, le DS III s’applique, de sorte que les valeurs limites d’immission - à savoir du bruit au lieu de ses effets - sont de Lr jour 60 dB(A) et de Lr nuit 50 dB(A). Quant aux valeurs de planification, elles ne doivent pas dépasser 55 dB(A) de jour et 45 dB(A) de nuit. Or, force est de constater que les valeurs indiquées dans les deux formulaires Cercle-bruit sont en-dessous du maximum autorisé, tant pour la période diurne que pour nocturne. En outre, le SABRA, instance spécialisée en matière de contrôle des émissions sonores, a rendu un préavis favorable le 24 mars 2023 sans condition ni observation, relevant que « selon les informations fournies », le compresseur respecterait les valeurs de planification de l’OPB. A juste titre, les recourants ont relevé que le SABRA ne s’était pas formellement prononcé sur le deuxième formulaire Cercle-bruit du 13 juin 2023, ce dernier ayant été enregistré par le département le 16 juin 2023 sous une référence de dossier erronée. Cependant, comme expliqué par l’autorité intimée dans sa duplique, le SABRA a, dans l’intervalle, pu prendre connaissance de ce deuxième formulaire et confirmer que la valeur de son préavis favorable du 24 mars 2023 n’était pas modifiée. A cet égard, il a tout d’abord relevé les informations figurant sur ce second formulaire étaient conformes aux données acoustiques disponibles dans la fiche technique de l’appareil Apha Innotec annoncé. De plus, la distance de 27 m mentionnée (distance jusqu’au récepteur) correspondait à la distance entre l’installation fixe et le bord de la terrasse. Par conséquent la distance avec le premier local sensible au bruit de la maison des recourants, soit l’intérieur de celle-ci, était supérieure à celle retenue, ce qui diminuait encore de facto le niveau sonore constaté. D’autre part, le SABRA a refait le calcul selon les données fournies dans le deuxième formulaire et a obtenu les mêmes résultats que ceux mentionnés dans ce dernier. En particulier, le niveau de pression acoustique à 27 m était de 22.4 dB de nuit, et de 30.4 dB de jour pour le modèle annoncé utilisé conformément aux</w:t>
      </w:r>
    </w:p>
    <w:p>
      <w:r>
        <w:t>- 20/25 - A/2987/2023 instructions du fabricant, soit un niveau d’évaluation de 34.4 dB de nuit et de 37.4 dB de jour. Au vu de ce qui précède, les valeurs limite de planification en zone de degré de sensibilité III (60 dB de jour et 50 dB de nuit), sont largement respectées in casu. De plus, il ressort des données transmises dans les deux formulaires Cercle-bruit précités qu’une réduction du niveau sonore en mode nuit est prévue, avec une puissance maximale acoustique nocturne moins élevée que celle de jour. Il prévoit en outre un « mode nocturne » actif de 19h à 07h, avec mention que ce réglage est obligatoire et ne peut être modifié. Ainsi, conformément à l’art. 11 al. 2 LPE, des mesures préventives ont été prévues par le requérant. Celles-ci ont en outre été contrôlées et validées par le SABRA. Enfin, le second formulaire indique expressément que le principe de prévention est respecté.</w:t>
      </w:r>
    </w:p>
    <w:p>
      <w:r>
        <w:rPr>
          <w:b/>
        </w:rPr>
        <w:t>E. 32</w:t>
      </w:r>
    </w:p>
    <w:p>
      <w:r>
        <w:t>Enfin, comme relevé par le département, il ressort du dossier que l’installation litigieuse ne génère aucune nuisance acoustique pour le voisinage. En effet, selon le premier formulaire produit, le niveau de pression acoustique calculé (à 32 m du récepteur) est de 19.8 dB de jour et 14.8 (de nuit), soit 15 dB de mois que le bruit de fond estimé selon le SABRA à 35 dB de jour et 30 dB de nuit pour une zone calme (indice L90), comme en l’espèce. On peut dès lors retenir avec l’autorité intimée, que le bruit généré par l’appareil litigieux ne dépasse par le bruit ambiant et ne cause pas de nuisance acoustique au voisinage. Les données du deuxième formulaire permettent d’aboutir à la même conclusion, le niveau de pression acoustique indiqué (à 27 m) étant de 30.4 dB de jour et 22.4 dB de nuit, soit des niveaux moins élevés que les normes du bruit de fond (L90) précitées. Compte tenu de ces éléments, la recherche d’un lieu de pose alternatif ou l’exigence de déplacement de l’installation sur la façade Ouest du bâtiment, telle que formulée par les recourants, paraît injustifiée et disproportionnée.</w:t>
      </w:r>
    </w:p>
    <w:p>
      <w:r>
        <w:rPr>
          <w:b/>
        </w:rPr>
        <w:t>E. 33</w:t>
      </w:r>
    </w:p>
    <w:p>
      <w:r>
        <w:t>Par ailleurs, l’arguments des recourants relevant une erreur relative à l’utilisation d’un formulaire dédié aux bruits de PAC sera également rejeté, ce type de document pouvant être utilisé pour toutes les installations fixes émettant une source ponctuelle de bruit. Selon les explications du département, que le tribunal n’a aucune raison de remettre en cause, ce formulaire n’est pas limité aux PAC, nonobstant son intitulé. Quant à la mention erronée de zone DS II - au lieu de DS III - dans le deuxième formulaire, elle ne permet nullement de remettre en causes les mesures acoustiques effectuées sur place par l’entreprise I______. Pour le surplus, le tribunal relèvera à l’instar du département que les données acoustiques produites par les recourants ne sont pas assez précises pour remettre en cause les mesures précitées, retenues par le SABRA, notamment au regard des multiples paramètres à prendre en compte durant une telle évaluation. Pour rappel, le rapport établi par la société J______, mandatée par les recourants, ne constitue qu’un simple allégué de partie et ne saurait, à lui seul, rendre insoutenable l’appréciation des preuves opérée par le SABRA, instance spécialisée.</w:t>
      </w:r>
    </w:p>
    <w:p>
      <w:r>
        <w:t>- 21/25 - A/2987/2023 Compte tenu de ce qui précède, le tribunal considère qu’aucune violation des prescriptions légales en matière de protection contre le bruit n’est à déplorer in casu. En soutenant le contraire, les recourants se contentent en réalité de substituer leur propre appréciation à celle effectuée par le SABRA, sans parvenir à démontrer en quoi celle-ci aurait émis un préavis dénué de pertinence ou fondé sur des motifs étrangers aux buts de la loi. Quoi qu'il en soi, le tribunal peut parfaitement adhérer au point de vue de cette instance spécialisée.</w:t>
      </w:r>
    </w:p>
    <w:p>
      <w:r>
        <w:rPr>
          <w:b/>
        </w:rPr>
        <w:t>E. 34</w:t>
      </w:r>
    </w:p>
    <w:p>
      <w:r>
        <w:t>Les recourants font encore grief au département d’avoir violé l’art. 14 LCI en autorisant une machinerie de refroidissement incommodante pour le voisinage, qui n’aurait pas sa place en zone agricole.</w:t>
      </w:r>
    </w:p>
    <w:p>
      <w:r>
        <w:rPr>
          <w:b/>
        </w:rPr>
        <w:t>E. 35</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36</w:t>
      </w:r>
    </w:p>
    <w:p>
      <w:r>
        <w:t>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w:t>
      </w:r>
    </w:p>
    <w:p>
      <w:r>
        <w:rPr>
          <w:b/>
        </w:rPr>
        <w:t>E. 37</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t>- 22/25 - A/2987/2023</w:t>
      </w:r>
    </w:p>
    <w:p>
      <w:r>
        <w:rPr>
          <w:b/>
        </w:rPr>
        <w:t>E. 38</w:t>
      </w:r>
    </w:p>
    <w:p>
      <w:r>
        <w:t>En l’occurrence, toutes les instances consultées se sont déclarées favorables à la requête complémentaire sollicitée, avec ou sans condition. De plus, l’incompatibilité de l’exploitation d’une BRASSERIE en zone agricole, telle que sous-entendue par les recourant, sort du cadre de l’autorisation de construire complémentaire faisant l’objet de la présente procédure. Pour rappel, cette dernière ne porte que sur l’installation d’un compresseur avec ventilateurs, et sur le réaménagement intérieur du bâtiment, au demeurant non contesté. Enfin, hormis les nuisances sonores alléguées, mais écartées par le tribunal supra, les recourants ne font pas valoir d’autres inconvénients graves causés par le compresseur litigieux. Le grief de violation de l’art. 14 LCI sera dès lors également rejeté.</w:t>
      </w:r>
    </w:p>
    <w:p>
      <w:r>
        <w:rPr>
          <w:b/>
        </w:rPr>
        <w:t>E. 39</w:t>
      </w:r>
    </w:p>
    <w:p>
      <w:r>
        <w:t>Enfin, les recourants se prévalent d’une violation des art. 24 ss LAT et 27C LaLAT, au motif que le département aurait accordé une dérogation pour autoriser l’installation querellée, qui n’aurait pas sa place en hors de la zone à bâtir.</w:t>
      </w:r>
    </w:p>
    <w:p>
      <w:r>
        <w:rPr>
          <w:b/>
        </w:rPr>
        <w:t>E. 40</w:t>
      </w:r>
    </w:p>
    <w:p>
      <w:r>
        <w:t>Selon la LAT,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w:t>
      </w:r>
    </w:p>
    <w:p>
      <w:r>
        <w:rPr>
          <w:b/>
        </w:rPr>
        <w:t>E. 41</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w:t>
      </w:r>
    </w:p>
    <w:p>
      <w:r>
        <w:rPr>
          <w:b/>
        </w:rPr>
        <w:t>E. 42</w:t>
      </w:r>
    </w:p>
    <w:p>
      <w:r>
        <w:t>Selon cette disposition, hors des zones à bâtir, en dérogation à l’art. 20, une autorisation ne peut être délivrée pour une nouvelle construction ou installation ou pour tout changement d’affectation que : a) si l’emplacement de la construction prévue est imposé par sa destination, et b) si elle ne lèse aucun intérêt prépondérant, notamment du point de vue de la protection de la nature et des sites et du maintien de la surface agricole utile pour l’entreprise agricole.</w:t>
      </w:r>
    </w:p>
    <w:p>
      <w:r>
        <w:rPr>
          <w:b/>
        </w:rPr>
        <w:t>E. 43</w:t>
      </w:r>
    </w:p>
    <w:p>
      <w:r>
        <w:t>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w:t>
      </w:r>
    </w:p>
    <w:p>
      <w:r>
        <w:rPr>
          <w:b/>
        </w:rPr>
        <w:t>E. 44</w:t>
      </w:r>
    </w:p>
    <w:p>
      <w:r>
        <w:t>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w:t>
      </w:r>
    </w:p>
    <w:p>
      <w:r>
        <w:t>- 23/25 - A/2987/2023 reconstruction, pour autant que les bâtiments aient été érigés ou transformés légalement (art. 24c al. 2 LAT). Cette réglementation est reprise à l'art. 27C LaLAT.</w:t>
      </w:r>
    </w:p>
    <w:p>
      <w:r>
        <w:rPr>
          <w:b/>
        </w:rPr>
        <w:t>E. 45</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Ainsi, cette disposition accorde au département un large pouvoir d'appréciation que le juge ne peut revoir qu'en cas d'excès ou d'abus, ou de constatation inexacte ou incomplète des faits pertinents (art. 61 al. 1 et 2 LPA) (ATA/318/2017 précité consid. 6d et les références citées).</w:t>
      </w:r>
    </w:p>
    <w:p>
      <w:r>
        <w:rPr>
          <w:b/>
        </w:rPr>
        <w:t>E. 46</w:t>
      </w:r>
    </w:p>
    <w:p>
      <w:r>
        <w:t>En l’espèce, les recourants contestent la dérogation accordée et la régularisation de l’installation litigieuse en soulignant l’incompatibilité de l’exploitation d’une BRASSERIE en zone agricole. Or, comme déjà dit supra, l’affectation et l’exploitation de la BRASSERIE en zone agricole est exorbitante à l’objet du présent litige qui se limite, comme la dérogation accordée, aux seules questions de l’installation d’un compresseur avec ventilateurs en façade du bâtiment sis sur la parcelle concernée. Or, à cet égard, il n’est pas contesté que le compresseur litigieux est un élément technique nécessaire à la fabrication de bière et donc à l’exploitation de ladite BRASSERIE. De plus, toutes les instances compétentes, notamment l’OCAN, se sont déclarées favorables à la demande de régularisation de l’installation litigieuse tout en relevant que celle-ci ne portait pas atteinte à l’exploitation agricole des terrains avoisinants, qu’aucun intérêt prépondérant de l’agriculture n’était lésé et que les conditions d’une dérogation au sens des art. 24c LAT et 27 LaLAT étaient remplies. Les recourants ne font valoir - ni ne démontrent - aucun élément qui contredirait la position des instances consultées. Il ressort en outre de la lecture des avis consultatifs figurant au dossier que « l’installation d’un compresseur avec ventilateur en façade » a bel et bien été prise en compte dans l’analyse du projet ayant mené à la délivrance de l’autorisation querellée. Il découle de ce qui précède, qu’en accordant la dérogation prévue à l’art. 24c LAT et 27C LaLAT, le département, suivant l'avis favorable des instances spécialisées, n'a pas mésusé de son pouvoir d'appréciation. Dans ces circonstances, le tribunal ne saurait, en application des principes jurisprudentiels rappelés plus haut, se substituer à l'appréciation de ces autorités. Le grief tiré de la violation des art. 24 ss LAT et 27C LaLAT sera donc rejeté.</w:t>
      </w:r>
    </w:p>
    <w:p>
      <w:r>
        <w:t>- 24/25 - A/2987/2023</w:t>
      </w:r>
    </w:p>
    <w:p>
      <w:r>
        <w:rPr>
          <w:b/>
        </w:rPr>
        <w:t>E. 47</w:t>
      </w:r>
    </w:p>
    <w:p>
      <w:r>
        <w:t>Pour le surplus, les allégations des recourants relatives au manque d’analyse des deux conditions dérogatoires cumulatives de l’art. 24 LAT ne sont pas relevantes, seule la dérogation prévue aux art. 24c LAT et 27C LaLAT ayant été accordée in casu, comme expressément mentionné dans la décision querellée.</w:t>
      </w:r>
    </w:p>
    <w:p>
      <w:r>
        <w:rPr>
          <w:b/>
        </w:rPr>
        <w:t>E. 48</w:t>
      </w:r>
    </w:p>
    <w:p>
      <w:r>
        <w:t>Enfin, concernant le dernier grief invoqué par les recourants en lien avec la violation de la condition n° 14 du préavis de l’OCEN, à savoir l’installation d’un récupérateur thermique, le tribunal relève que l’autorisation de construire dont est recours n’est pas encore entrée en force et que cette condition devra être mise en place par le requérant dans la phase d’exécution de la décision, qui ne fait pas l’objet du présent recours.</w:t>
      </w:r>
    </w:p>
    <w:p>
      <w:r>
        <w:rPr>
          <w:b/>
        </w:rPr>
        <w:t>E. 49</w:t>
      </w:r>
    </w:p>
    <w:p>
      <w:r>
        <w:t>Ce grief doit donc également être écarté.</w:t>
      </w:r>
    </w:p>
    <w:p>
      <w:r>
        <w:rPr>
          <w:b/>
        </w:rPr>
        <w:t>E. 50</w:t>
      </w:r>
    </w:p>
    <w:p>
      <w:r>
        <w:t>Entièrement mal fondé, le recours sera rejeté.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52. Vu l’issue du litige, une indemnité de procédure de CHF 1'500.-, à la charge des recourants, sera allouée à Monsieur C______ (art. 87 al. 2 à 4 LPA et 6 RFPA).</w:t>
      </w:r>
    </w:p>
    <w:p>
      <w:r>
        <w:t>- 25/25 - A/2987/2023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